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b/>
          <w:sz w:val="36"/>
          <w:szCs w:val="36"/>
        </w:rPr>
      </w:pPr>
    </w:p>
    <w:p>
      <w:pPr>
        <w:spacing w:line="360" w:lineRule="auto"/>
        <w:jc w:val="center"/>
        <w:rPr>
          <w:rFonts w:eastAsia="仿宋"/>
          <w:b/>
          <w:sz w:val="44"/>
          <w:szCs w:val="44"/>
        </w:rPr>
      </w:pPr>
    </w:p>
    <w:p>
      <w:pPr>
        <w:adjustRightInd w:val="0"/>
        <w:snapToGrid w:val="0"/>
        <w:spacing w:line="360" w:lineRule="auto"/>
        <w:jc w:val="center"/>
        <w:rPr>
          <w:rFonts w:eastAsia="仿宋"/>
          <w:b/>
          <w:kern w:val="11"/>
          <w:sz w:val="44"/>
          <w:szCs w:val="44"/>
        </w:rPr>
      </w:pPr>
      <w:r>
        <w:rPr>
          <w:rFonts w:hint="eastAsia" w:eastAsia="仿宋"/>
          <w:b/>
          <w:kern w:val="11"/>
          <w:sz w:val="44"/>
          <w:szCs w:val="44"/>
          <w:lang w:eastAsia="zh-CN"/>
        </w:rPr>
        <w:t>国网淮北供电公司2019年反恐升降柱装置维护</w:t>
      </w:r>
      <w:r>
        <w:rPr>
          <w:rFonts w:eastAsia="仿宋"/>
          <w:b/>
          <w:kern w:val="11"/>
          <w:sz w:val="44"/>
          <w:szCs w:val="44"/>
        </w:rPr>
        <w:t>技术规范书</w:t>
      </w:r>
    </w:p>
    <w:p>
      <w:pPr>
        <w:spacing w:line="360" w:lineRule="auto"/>
        <w:rPr>
          <w:rFonts w:eastAsia="黑体"/>
          <w:b/>
          <w:sz w:val="72"/>
          <w:szCs w:val="72"/>
        </w:rPr>
      </w:pPr>
    </w:p>
    <w:p>
      <w:pPr>
        <w:spacing w:line="360" w:lineRule="auto"/>
        <w:jc w:val="center"/>
        <w:rPr>
          <w:b/>
          <w:sz w:val="44"/>
          <w:szCs w:val="44"/>
        </w:rPr>
      </w:pPr>
    </w:p>
    <w:p>
      <w:pPr>
        <w:spacing w:line="360" w:lineRule="auto"/>
        <w:jc w:val="center"/>
        <w:rPr>
          <w:b/>
          <w:sz w:val="44"/>
          <w:szCs w:val="44"/>
        </w:rPr>
      </w:pPr>
    </w:p>
    <w:p>
      <w:pPr>
        <w:spacing w:line="360" w:lineRule="auto"/>
        <w:rPr>
          <w:b/>
          <w:sz w:val="44"/>
          <w:szCs w:val="44"/>
        </w:rPr>
      </w:pPr>
    </w:p>
    <w:p>
      <w:pPr>
        <w:spacing w:line="360" w:lineRule="auto"/>
        <w:jc w:val="center"/>
        <w:rPr>
          <w:b/>
          <w:sz w:val="44"/>
          <w:szCs w:val="44"/>
        </w:rPr>
      </w:pPr>
    </w:p>
    <w:p>
      <w:pPr>
        <w:spacing w:line="360" w:lineRule="auto"/>
        <w:jc w:val="center"/>
        <w:rPr>
          <w:b/>
          <w:sz w:val="44"/>
          <w:szCs w:val="44"/>
        </w:rPr>
      </w:pPr>
    </w:p>
    <w:p>
      <w:pPr>
        <w:spacing w:line="360" w:lineRule="auto"/>
        <w:jc w:val="center"/>
        <w:rPr>
          <w:b/>
          <w:sz w:val="44"/>
          <w:szCs w:val="44"/>
        </w:rPr>
      </w:pPr>
    </w:p>
    <w:p>
      <w:pPr>
        <w:spacing w:line="360" w:lineRule="auto"/>
        <w:jc w:val="center"/>
        <w:rPr>
          <w:b/>
          <w:sz w:val="44"/>
          <w:szCs w:val="44"/>
        </w:rPr>
      </w:pPr>
    </w:p>
    <w:p>
      <w:pPr>
        <w:spacing w:line="360" w:lineRule="auto"/>
        <w:jc w:val="both"/>
        <w:rPr>
          <w:b/>
          <w:sz w:val="44"/>
          <w:szCs w:val="44"/>
        </w:rPr>
      </w:pPr>
    </w:p>
    <w:p>
      <w:pPr>
        <w:spacing w:line="360" w:lineRule="auto"/>
        <w:jc w:val="center"/>
        <w:rPr>
          <w:b/>
          <w:sz w:val="36"/>
          <w:szCs w:val="36"/>
        </w:rPr>
      </w:pPr>
    </w:p>
    <w:p>
      <w:pPr>
        <w:spacing w:line="360" w:lineRule="auto"/>
        <w:jc w:val="center"/>
        <w:rPr>
          <w:rFonts w:eastAsia="仿宋"/>
          <w:b/>
          <w:kern w:val="11"/>
          <w:sz w:val="44"/>
          <w:szCs w:val="44"/>
        </w:rPr>
      </w:pPr>
      <w:r>
        <w:rPr>
          <w:rFonts w:hint="eastAsia" w:eastAsia="仿宋"/>
          <w:b/>
          <w:kern w:val="11"/>
          <w:sz w:val="44"/>
          <w:szCs w:val="44"/>
        </w:rPr>
        <w:t>国网</w:t>
      </w:r>
      <w:r>
        <w:rPr>
          <w:rFonts w:hint="eastAsia" w:eastAsia="仿宋"/>
          <w:b/>
          <w:kern w:val="11"/>
          <w:sz w:val="44"/>
          <w:szCs w:val="44"/>
          <w:lang w:eastAsia="zh-CN"/>
        </w:rPr>
        <w:t>淮北</w:t>
      </w:r>
      <w:r>
        <w:rPr>
          <w:rFonts w:hint="eastAsia" w:eastAsia="仿宋"/>
          <w:b/>
          <w:kern w:val="11"/>
          <w:sz w:val="44"/>
          <w:szCs w:val="44"/>
        </w:rPr>
        <w:t>供电公司</w:t>
      </w:r>
    </w:p>
    <w:p>
      <w:pPr>
        <w:spacing w:line="360" w:lineRule="auto"/>
        <w:jc w:val="center"/>
        <w:rPr>
          <w:b/>
          <w:spacing w:val="40"/>
          <w:sz w:val="36"/>
          <w:szCs w:val="36"/>
        </w:rPr>
        <w:sectPr>
          <w:footerReference r:id="rId7" w:type="first"/>
          <w:headerReference r:id="rId3" w:type="default"/>
          <w:footerReference r:id="rId5" w:type="default"/>
          <w:headerReference r:id="rId4" w:type="even"/>
          <w:footerReference r:id="rId6" w:type="even"/>
          <w:pgSz w:w="11906" w:h="16838"/>
          <w:pgMar w:top="1440" w:right="1797" w:bottom="1440" w:left="1797" w:header="851" w:footer="992" w:gutter="0"/>
          <w:pgNumType w:start="1"/>
          <w:cols w:space="720" w:num="1"/>
          <w:titlePg/>
          <w:docGrid w:type="linesAndChars" w:linePitch="312" w:charSpace="0"/>
        </w:sectPr>
      </w:pPr>
      <w:r>
        <w:rPr>
          <w:rFonts w:hint="eastAsia"/>
          <w:b/>
          <w:spacing w:val="40"/>
          <w:sz w:val="36"/>
          <w:szCs w:val="36"/>
          <w:lang w:eastAsia="zh-CN"/>
        </w:rPr>
        <w:t>2019</w:t>
      </w:r>
      <w:r>
        <w:rPr>
          <w:b/>
          <w:spacing w:val="40"/>
          <w:sz w:val="36"/>
          <w:szCs w:val="36"/>
        </w:rPr>
        <w:t>年</w:t>
      </w:r>
      <w:r>
        <w:rPr>
          <w:rFonts w:hint="eastAsia"/>
          <w:b/>
          <w:spacing w:val="40"/>
          <w:sz w:val="36"/>
          <w:szCs w:val="36"/>
          <w:lang w:val="en-US" w:eastAsia="zh-CN"/>
        </w:rPr>
        <w:t>6</w:t>
      </w:r>
      <w:r>
        <w:rPr>
          <w:b/>
          <w:spacing w:val="40"/>
          <w:sz w:val="36"/>
          <w:szCs w:val="36"/>
        </w:rPr>
        <w:t>月</w:t>
      </w:r>
    </w:p>
    <w:p>
      <w:pPr>
        <w:pStyle w:val="20"/>
      </w:pPr>
    </w:p>
    <w:p>
      <w:pPr>
        <w:spacing w:line="360" w:lineRule="auto"/>
        <w:jc w:val="center"/>
        <w:rPr>
          <w:rFonts w:eastAsia="黑体"/>
          <w:b/>
          <w:sz w:val="44"/>
          <w:szCs w:val="44"/>
        </w:rPr>
      </w:pPr>
      <w:r>
        <w:rPr>
          <w:rFonts w:hint="eastAsia"/>
        </w:rPr>
        <w:t xml:space="preserve">    </w:t>
      </w:r>
      <w:r>
        <w:rPr>
          <w:rFonts w:eastAsia="黑体"/>
          <w:b/>
          <w:sz w:val="44"/>
          <w:szCs w:val="44"/>
          <w:lang w:val="zh-CN"/>
        </w:rPr>
        <w:t>目   录</w:t>
      </w:r>
      <w:bookmarkStart w:id="0" w:name="_Toc237257822"/>
      <w:bookmarkStart w:id="1" w:name="_Toc3593"/>
      <w:bookmarkStart w:id="2" w:name="_Toc385841923"/>
    </w:p>
    <w:p>
      <w:pPr>
        <w:pStyle w:val="15"/>
        <w:tabs>
          <w:tab w:val="right" w:leader="dot" w:pos="8302"/>
        </w:tabs>
        <w:spacing w:line="360" w:lineRule="auto"/>
        <w:rPr>
          <w:szCs w:val="24"/>
        </w:rPr>
      </w:pPr>
      <w:r>
        <w:rPr>
          <w:sz w:val="24"/>
          <w:szCs w:val="24"/>
        </w:rPr>
        <w:fldChar w:fldCharType="begin"/>
      </w:r>
      <w:r>
        <w:rPr>
          <w:sz w:val="24"/>
          <w:szCs w:val="24"/>
        </w:rPr>
        <w:instrText xml:space="preserve"> TOC \o "1-3" \h \z \u </w:instrText>
      </w:r>
      <w:r>
        <w:rPr>
          <w:sz w:val="24"/>
          <w:szCs w:val="24"/>
        </w:rPr>
        <w:fldChar w:fldCharType="separate"/>
      </w:r>
      <w:r>
        <w:fldChar w:fldCharType="begin"/>
      </w:r>
      <w:r>
        <w:instrText xml:space="preserve"> HYPERLINK \l "_Toc499194839" </w:instrText>
      </w:r>
      <w:r>
        <w:fldChar w:fldCharType="separate"/>
      </w:r>
      <w:r>
        <w:rPr>
          <w:rStyle w:val="24"/>
        </w:rPr>
        <w:t xml:space="preserve">1 </w:t>
      </w:r>
      <w:r>
        <w:rPr>
          <w:rStyle w:val="24"/>
          <w:rFonts w:hint="eastAsia"/>
        </w:rPr>
        <w:t>招标说明</w:t>
      </w:r>
      <w:r>
        <w:tab/>
      </w:r>
      <w:r>
        <w:fldChar w:fldCharType="begin"/>
      </w:r>
      <w:r>
        <w:instrText xml:space="preserve"> PAGEREF _Toc499194839 \h </w:instrText>
      </w:r>
      <w:r>
        <w:fldChar w:fldCharType="separate"/>
      </w:r>
      <w:r>
        <w:t>1</w:t>
      </w:r>
      <w:r>
        <w:fldChar w:fldCharType="end"/>
      </w:r>
      <w:r>
        <w:fldChar w:fldCharType="end"/>
      </w:r>
    </w:p>
    <w:p>
      <w:pPr>
        <w:pStyle w:val="18"/>
        <w:tabs>
          <w:tab w:val="right" w:leader="dot" w:pos="8302"/>
        </w:tabs>
        <w:spacing w:line="360" w:lineRule="auto"/>
        <w:ind w:left="220"/>
        <w:rPr>
          <w:szCs w:val="24"/>
        </w:rPr>
      </w:pPr>
      <w:r>
        <w:fldChar w:fldCharType="begin"/>
      </w:r>
      <w:r>
        <w:instrText xml:space="preserve"> HYPERLINK \l "_Toc499194840" </w:instrText>
      </w:r>
      <w:r>
        <w:fldChar w:fldCharType="separate"/>
      </w:r>
      <w:r>
        <w:rPr>
          <w:rStyle w:val="24"/>
        </w:rPr>
        <w:t xml:space="preserve">1.1 </w:t>
      </w:r>
      <w:r>
        <w:rPr>
          <w:rStyle w:val="24"/>
          <w:rFonts w:hint="eastAsia"/>
        </w:rPr>
        <w:t>基本规定</w:t>
      </w:r>
      <w:r>
        <w:tab/>
      </w:r>
      <w:r>
        <w:fldChar w:fldCharType="begin"/>
      </w:r>
      <w:r>
        <w:instrText xml:space="preserve"> PAGEREF _Toc499194840 \h </w:instrText>
      </w:r>
      <w:r>
        <w:fldChar w:fldCharType="separate"/>
      </w:r>
      <w:r>
        <w:t>1</w:t>
      </w:r>
      <w:r>
        <w:fldChar w:fldCharType="end"/>
      </w:r>
      <w:r>
        <w:fldChar w:fldCharType="end"/>
      </w:r>
    </w:p>
    <w:p>
      <w:pPr>
        <w:pStyle w:val="18"/>
        <w:tabs>
          <w:tab w:val="right" w:leader="dot" w:pos="8302"/>
        </w:tabs>
        <w:spacing w:line="360" w:lineRule="auto"/>
        <w:ind w:left="220"/>
        <w:rPr>
          <w:szCs w:val="24"/>
        </w:rPr>
      </w:pPr>
      <w:r>
        <w:fldChar w:fldCharType="begin"/>
      </w:r>
      <w:r>
        <w:instrText xml:space="preserve"> HYPERLINK \l "_Toc499194841" </w:instrText>
      </w:r>
      <w:r>
        <w:fldChar w:fldCharType="separate"/>
      </w:r>
      <w:r>
        <w:rPr>
          <w:rStyle w:val="24"/>
        </w:rPr>
        <w:t xml:space="preserve">1.2 </w:t>
      </w:r>
      <w:r>
        <w:rPr>
          <w:rStyle w:val="24"/>
          <w:rFonts w:hint="eastAsia"/>
        </w:rPr>
        <w:t>投标须知</w:t>
      </w:r>
      <w:r>
        <w:tab/>
      </w:r>
      <w:r>
        <w:fldChar w:fldCharType="begin"/>
      </w:r>
      <w:r>
        <w:instrText xml:space="preserve"> PAGEREF _Toc499194841 \h </w:instrText>
      </w:r>
      <w:r>
        <w:fldChar w:fldCharType="separate"/>
      </w:r>
      <w:r>
        <w:t>2</w:t>
      </w:r>
      <w:r>
        <w:fldChar w:fldCharType="end"/>
      </w:r>
      <w:r>
        <w:fldChar w:fldCharType="end"/>
      </w:r>
    </w:p>
    <w:p>
      <w:pPr>
        <w:pStyle w:val="18"/>
        <w:tabs>
          <w:tab w:val="right" w:leader="dot" w:pos="8302"/>
        </w:tabs>
        <w:spacing w:line="360" w:lineRule="auto"/>
        <w:ind w:left="220"/>
        <w:rPr>
          <w:szCs w:val="24"/>
        </w:rPr>
      </w:pPr>
      <w:r>
        <w:fldChar w:fldCharType="begin"/>
      </w:r>
      <w:r>
        <w:instrText xml:space="preserve"> HYPERLINK \l "_Toc499194842" </w:instrText>
      </w:r>
      <w:r>
        <w:fldChar w:fldCharType="separate"/>
      </w:r>
      <w:r>
        <w:rPr>
          <w:rStyle w:val="24"/>
        </w:rPr>
        <w:t xml:space="preserve">1.3 </w:t>
      </w:r>
      <w:r>
        <w:rPr>
          <w:rStyle w:val="24"/>
          <w:rFonts w:hint="eastAsia"/>
        </w:rPr>
        <w:t>对投标厂家的资质业绩及其他要求</w:t>
      </w:r>
      <w:r>
        <w:tab/>
      </w:r>
      <w:r>
        <w:fldChar w:fldCharType="begin"/>
      </w:r>
      <w:r>
        <w:instrText xml:space="preserve"> PAGEREF _Toc499194842 \h </w:instrText>
      </w:r>
      <w:r>
        <w:fldChar w:fldCharType="separate"/>
      </w:r>
      <w:r>
        <w:t>3</w:t>
      </w:r>
      <w:r>
        <w:fldChar w:fldCharType="end"/>
      </w:r>
      <w:r>
        <w:fldChar w:fldCharType="end"/>
      </w:r>
    </w:p>
    <w:p>
      <w:pPr>
        <w:pStyle w:val="11"/>
        <w:tabs>
          <w:tab w:val="right" w:leader="dot" w:pos="8302"/>
        </w:tabs>
        <w:spacing w:line="360" w:lineRule="auto"/>
        <w:ind w:left="440"/>
        <w:rPr>
          <w:szCs w:val="24"/>
        </w:rPr>
      </w:pPr>
      <w:r>
        <w:fldChar w:fldCharType="begin"/>
      </w:r>
      <w:r>
        <w:instrText xml:space="preserve"> HYPERLINK \l "_Toc499194843" </w:instrText>
      </w:r>
      <w:r>
        <w:fldChar w:fldCharType="separate"/>
      </w:r>
      <w:r>
        <w:rPr>
          <w:rStyle w:val="24"/>
        </w:rPr>
        <w:t xml:space="preserve">1.3.1 </w:t>
      </w:r>
      <w:r>
        <w:rPr>
          <w:rStyle w:val="24"/>
          <w:rFonts w:hint="eastAsia"/>
        </w:rPr>
        <w:t>资质业绩要求</w:t>
      </w:r>
      <w:r>
        <w:tab/>
      </w:r>
      <w:r>
        <w:fldChar w:fldCharType="begin"/>
      </w:r>
      <w:r>
        <w:instrText xml:space="preserve"> PAGEREF _Toc499194843 \h </w:instrText>
      </w:r>
      <w:r>
        <w:fldChar w:fldCharType="separate"/>
      </w:r>
      <w:r>
        <w:t>3</w:t>
      </w:r>
      <w:r>
        <w:fldChar w:fldCharType="end"/>
      </w:r>
      <w:r>
        <w:fldChar w:fldCharType="end"/>
      </w:r>
    </w:p>
    <w:p>
      <w:pPr>
        <w:pStyle w:val="11"/>
        <w:tabs>
          <w:tab w:val="right" w:leader="dot" w:pos="8302"/>
        </w:tabs>
        <w:spacing w:line="360" w:lineRule="auto"/>
        <w:ind w:left="440"/>
        <w:rPr>
          <w:szCs w:val="24"/>
        </w:rPr>
      </w:pPr>
      <w:r>
        <w:fldChar w:fldCharType="begin"/>
      </w:r>
      <w:r>
        <w:instrText xml:space="preserve"> HYPERLINK \l "_Toc499194844" </w:instrText>
      </w:r>
      <w:r>
        <w:fldChar w:fldCharType="separate"/>
      </w:r>
      <w:r>
        <w:rPr>
          <w:rStyle w:val="24"/>
        </w:rPr>
        <w:t>1.3.2</w:t>
      </w:r>
      <w:r>
        <w:rPr>
          <w:rStyle w:val="24"/>
          <w:rFonts w:hint="eastAsia"/>
        </w:rPr>
        <w:t>其他要求</w:t>
      </w:r>
      <w:r>
        <w:tab/>
      </w:r>
      <w:r>
        <w:fldChar w:fldCharType="begin"/>
      </w:r>
      <w:r>
        <w:instrText xml:space="preserve"> PAGEREF _Toc499194844 \h </w:instrText>
      </w:r>
      <w:r>
        <w:fldChar w:fldCharType="separate"/>
      </w:r>
      <w:r>
        <w:t>3</w:t>
      </w:r>
      <w:r>
        <w:fldChar w:fldCharType="end"/>
      </w:r>
      <w:r>
        <w:fldChar w:fldCharType="end"/>
      </w:r>
    </w:p>
    <w:p>
      <w:pPr>
        <w:pStyle w:val="18"/>
        <w:tabs>
          <w:tab w:val="right" w:leader="dot" w:pos="8302"/>
        </w:tabs>
        <w:spacing w:line="360" w:lineRule="auto"/>
        <w:ind w:left="220"/>
        <w:rPr>
          <w:szCs w:val="24"/>
        </w:rPr>
      </w:pPr>
      <w:r>
        <w:fldChar w:fldCharType="begin"/>
      </w:r>
      <w:r>
        <w:instrText xml:space="preserve"> HYPERLINK \l "_Toc499194845" </w:instrText>
      </w:r>
      <w:r>
        <w:fldChar w:fldCharType="separate"/>
      </w:r>
      <w:r>
        <w:rPr>
          <w:rStyle w:val="24"/>
        </w:rPr>
        <w:t xml:space="preserve">1.4 </w:t>
      </w:r>
      <w:r>
        <w:rPr>
          <w:rStyle w:val="24"/>
          <w:rFonts w:hint="eastAsia"/>
        </w:rPr>
        <w:t>双方职责</w:t>
      </w:r>
      <w:r>
        <w:tab/>
      </w:r>
      <w:r>
        <w:fldChar w:fldCharType="begin"/>
      </w:r>
      <w:r>
        <w:instrText xml:space="preserve"> PAGEREF _Toc499194845 \h </w:instrText>
      </w:r>
      <w:r>
        <w:fldChar w:fldCharType="separate"/>
      </w:r>
      <w:r>
        <w:t>3</w:t>
      </w:r>
      <w:r>
        <w:fldChar w:fldCharType="end"/>
      </w:r>
      <w:r>
        <w:fldChar w:fldCharType="end"/>
      </w:r>
    </w:p>
    <w:p>
      <w:pPr>
        <w:pStyle w:val="11"/>
        <w:tabs>
          <w:tab w:val="right" w:leader="dot" w:pos="8302"/>
        </w:tabs>
        <w:spacing w:line="360" w:lineRule="auto"/>
        <w:ind w:left="440"/>
        <w:rPr>
          <w:szCs w:val="24"/>
        </w:rPr>
      </w:pPr>
      <w:r>
        <w:fldChar w:fldCharType="begin"/>
      </w:r>
      <w:r>
        <w:instrText xml:space="preserve"> HYPERLINK \l "_Toc499194846" </w:instrText>
      </w:r>
      <w:r>
        <w:fldChar w:fldCharType="separate"/>
      </w:r>
      <w:r>
        <w:rPr>
          <w:rStyle w:val="24"/>
        </w:rPr>
        <w:t xml:space="preserve">1.4.1 </w:t>
      </w:r>
      <w:r>
        <w:rPr>
          <w:rStyle w:val="24"/>
          <w:rFonts w:hint="eastAsia"/>
        </w:rPr>
        <w:t>投标方的责任</w:t>
      </w:r>
      <w:r>
        <w:tab/>
      </w:r>
      <w:r>
        <w:fldChar w:fldCharType="begin"/>
      </w:r>
      <w:r>
        <w:instrText xml:space="preserve"> PAGEREF _Toc499194846 \h </w:instrText>
      </w:r>
      <w:r>
        <w:fldChar w:fldCharType="separate"/>
      </w:r>
      <w:r>
        <w:t>3</w:t>
      </w:r>
      <w:r>
        <w:fldChar w:fldCharType="end"/>
      </w:r>
      <w:r>
        <w:fldChar w:fldCharType="end"/>
      </w:r>
    </w:p>
    <w:p>
      <w:pPr>
        <w:pStyle w:val="11"/>
        <w:tabs>
          <w:tab w:val="right" w:leader="dot" w:pos="8302"/>
        </w:tabs>
        <w:spacing w:line="360" w:lineRule="auto"/>
        <w:ind w:left="440"/>
        <w:rPr>
          <w:szCs w:val="24"/>
        </w:rPr>
      </w:pPr>
      <w:r>
        <w:fldChar w:fldCharType="begin"/>
      </w:r>
      <w:r>
        <w:instrText xml:space="preserve"> HYPERLINK \l "_Toc499194847" </w:instrText>
      </w:r>
      <w:r>
        <w:fldChar w:fldCharType="separate"/>
      </w:r>
      <w:r>
        <w:rPr>
          <w:rStyle w:val="24"/>
        </w:rPr>
        <w:t xml:space="preserve">1.4.2 </w:t>
      </w:r>
      <w:r>
        <w:rPr>
          <w:rStyle w:val="24"/>
          <w:rFonts w:hint="eastAsia"/>
        </w:rPr>
        <w:t>招标方的责任</w:t>
      </w:r>
      <w:r>
        <w:tab/>
      </w:r>
      <w:r>
        <w:fldChar w:fldCharType="begin"/>
      </w:r>
      <w:r>
        <w:instrText xml:space="preserve"> PAGEREF _Toc499194847 \h </w:instrText>
      </w:r>
      <w:r>
        <w:fldChar w:fldCharType="separate"/>
      </w:r>
      <w:r>
        <w:t>4</w:t>
      </w:r>
      <w:r>
        <w:fldChar w:fldCharType="end"/>
      </w:r>
      <w:r>
        <w:fldChar w:fldCharType="end"/>
      </w:r>
    </w:p>
    <w:p>
      <w:pPr>
        <w:pStyle w:val="18"/>
        <w:tabs>
          <w:tab w:val="right" w:leader="dot" w:pos="8302"/>
        </w:tabs>
        <w:spacing w:line="360" w:lineRule="auto"/>
        <w:ind w:left="220"/>
        <w:rPr>
          <w:szCs w:val="24"/>
        </w:rPr>
      </w:pPr>
      <w:r>
        <w:fldChar w:fldCharType="begin"/>
      </w:r>
      <w:r>
        <w:instrText xml:space="preserve"> HYPERLINK \l "_Toc499194848" </w:instrText>
      </w:r>
      <w:r>
        <w:fldChar w:fldCharType="separate"/>
      </w:r>
      <w:r>
        <w:rPr>
          <w:rStyle w:val="24"/>
        </w:rPr>
        <w:t xml:space="preserve">1.5 </w:t>
      </w:r>
      <w:r>
        <w:rPr>
          <w:rStyle w:val="24"/>
          <w:rFonts w:hint="eastAsia"/>
        </w:rPr>
        <w:t>招标目的</w:t>
      </w:r>
      <w:r>
        <w:tab/>
      </w:r>
      <w:r>
        <w:fldChar w:fldCharType="begin"/>
      </w:r>
      <w:r>
        <w:instrText xml:space="preserve"> PAGEREF _Toc499194848 \h </w:instrText>
      </w:r>
      <w:r>
        <w:fldChar w:fldCharType="separate"/>
      </w:r>
      <w:r>
        <w:t>5</w:t>
      </w:r>
      <w:r>
        <w:fldChar w:fldCharType="end"/>
      </w:r>
      <w:r>
        <w:fldChar w:fldCharType="end"/>
      </w:r>
    </w:p>
    <w:p>
      <w:pPr>
        <w:pStyle w:val="15"/>
        <w:tabs>
          <w:tab w:val="right" w:leader="dot" w:pos="8302"/>
        </w:tabs>
        <w:spacing w:line="360" w:lineRule="auto"/>
        <w:rPr>
          <w:szCs w:val="24"/>
        </w:rPr>
      </w:pPr>
      <w:r>
        <w:fldChar w:fldCharType="begin"/>
      </w:r>
      <w:r>
        <w:instrText xml:space="preserve"> HYPERLINK \l "_Toc499194849" </w:instrText>
      </w:r>
      <w:r>
        <w:fldChar w:fldCharType="separate"/>
      </w:r>
      <w:r>
        <w:rPr>
          <w:rStyle w:val="24"/>
        </w:rPr>
        <w:t xml:space="preserve">2 </w:t>
      </w:r>
      <w:r>
        <w:rPr>
          <w:rStyle w:val="24"/>
          <w:rFonts w:hint="eastAsia"/>
        </w:rPr>
        <w:t>对投标方的技术要求</w:t>
      </w:r>
      <w:r>
        <w:tab/>
      </w:r>
      <w:r>
        <w:fldChar w:fldCharType="begin"/>
      </w:r>
      <w:r>
        <w:instrText xml:space="preserve"> PAGEREF _Toc499194849 \h </w:instrText>
      </w:r>
      <w:r>
        <w:fldChar w:fldCharType="separate"/>
      </w:r>
      <w:r>
        <w:t>5</w:t>
      </w:r>
      <w:r>
        <w:fldChar w:fldCharType="end"/>
      </w:r>
      <w:r>
        <w:fldChar w:fldCharType="end"/>
      </w:r>
    </w:p>
    <w:p>
      <w:pPr>
        <w:pStyle w:val="18"/>
        <w:tabs>
          <w:tab w:val="right" w:leader="dot" w:pos="8302"/>
        </w:tabs>
        <w:spacing w:line="360" w:lineRule="auto"/>
        <w:ind w:left="220"/>
        <w:rPr>
          <w:szCs w:val="24"/>
        </w:rPr>
      </w:pPr>
      <w:r>
        <w:fldChar w:fldCharType="begin"/>
      </w:r>
      <w:r>
        <w:instrText xml:space="preserve"> HYPERLINK \l "_Toc499194850" </w:instrText>
      </w:r>
      <w:r>
        <w:fldChar w:fldCharType="separate"/>
      </w:r>
      <w:r>
        <w:rPr>
          <w:rStyle w:val="24"/>
        </w:rPr>
        <w:t>2.1</w:t>
      </w:r>
      <w:r>
        <w:rPr>
          <w:rStyle w:val="24"/>
          <w:rFonts w:hint="eastAsia"/>
        </w:rPr>
        <w:t>项目服</w:t>
      </w:r>
      <w:bookmarkStart w:id="3" w:name="_Hlt499194866"/>
      <w:bookmarkStart w:id="4" w:name="_Hlt499194867"/>
      <w:r>
        <w:rPr>
          <w:rStyle w:val="24"/>
          <w:rFonts w:hint="eastAsia"/>
        </w:rPr>
        <w:t>务</w:t>
      </w:r>
      <w:bookmarkEnd w:id="3"/>
      <w:bookmarkEnd w:id="4"/>
      <w:r>
        <w:rPr>
          <w:rStyle w:val="24"/>
          <w:rFonts w:hint="eastAsia"/>
        </w:rPr>
        <w:t>内容</w:t>
      </w:r>
      <w:r>
        <w:tab/>
      </w:r>
      <w:r>
        <w:fldChar w:fldCharType="begin"/>
      </w:r>
      <w:r>
        <w:instrText xml:space="preserve"> PAGEREF _Toc499194850 \h </w:instrText>
      </w:r>
      <w:r>
        <w:fldChar w:fldCharType="separate"/>
      </w:r>
      <w:r>
        <w:t>5</w:t>
      </w:r>
      <w:r>
        <w:fldChar w:fldCharType="end"/>
      </w:r>
      <w:r>
        <w:fldChar w:fldCharType="end"/>
      </w:r>
    </w:p>
    <w:p>
      <w:pPr>
        <w:pStyle w:val="18"/>
        <w:tabs>
          <w:tab w:val="right" w:leader="dot" w:pos="8302"/>
        </w:tabs>
        <w:spacing w:line="360" w:lineRule="auto"/>
        <w:ind w:left="220"/>
        <w:rPr>
          <w:szCs w:val="24"/>
        </w:rPr>
      </w:pPr>
      <w:r>
        <w:fldChar w:fldCharType="begin"/>
      </w:r>
      <w:r>
        <w:instrText xml:space="preserve"> HYPERLINK \l "_Toc499194851" </w:instrText>
      </w:r>
      <w:r>
        <w:fldChar w:fldCharType="separate"/>
      </w:r>
      <w:r>
        <w:rPr>
          <w:rStyle w:val="24"/>
        </w:rPr>
        <w:t>2.2</w:t>
      </w:r>
      <w:r>
        <w:rPr>
          <w:rStyle w:val="24"/>
          <w:rFonts w:hint="eastAsia"/>
        </w:rPr>
        <w:t>项目服务要求</w:t>
      </w:r>
      <w:r>
        <w:tab/>
      </w:r>
      <w:r>
        <w:rPr>
          <w:rFonts w:hint="eastAsia"/>
        </w:rPr>
        <w:t>9</w:t>
      </w:r>
      <w:r>
        <w:rPr>
          <w:rFonts w:hint="eastAsia"/>
        </w:rPr>
        <w:fldChar w:fldCharType="end"/>
      </w:r>
    </w:p>
    <w:p>
      <w:pPr>
        <w:pStyle w:val="18"/>
        <w:tabs>
          <w:tab w:val="right" w:leader="dot" w:pos="8302"/>
        </w:tabs>
        <w:spacing w:line="360" w:lineRule="auto"/>
        <w:ind w:left="220"/>
        <w:rPr>
          <w:szCs w:val="24"/>
        </w:rPr>
      </w:pPr>
      <w:r>
        <w:fldChar w:fldCharType="begin"/>
      </w:r>
      <w:r>
        <w:instrText xml:space="preserve"> HYPERLINK \l "_Toc499194852" </w:instrText>
      </w:r>
      <w:r>
        <w:fldChar w:fldCharType="separate"/>
      </w:r>
      <w:r>
        <w:rPr>
          <w:rStyle w:val="24"/>
        </w:rPr>
        <w:t>2.3</w:t>
      </w:r>
      <w:r>
        <w:rPr>
          <w:rStyle w:val="24"/>
          <w:rFonts w:hint="eastAsia"/>
        </w:rPr>
        <w:t>工程量清单</w:t>
      </w:r>
      <w:r>
        <w:tab/>
      </w:r>
      <w:r>
        <w:rPr>
          <w:rFonts w:hint="eastAsia"/>
        </w:rPr>
        <w:t>1</w:t>
      </w:r>
      <w:r>
        <w:rPr>
          <w:rFonts w:hint="eastAsia"/>
        </w:rPr>
        <w:fldChar w:fldCharType="end"/>
      </w:r>
      <w:r>
        <w:rPr>
          <w:rFonts w:hint="eastAsia"/>
        </w:rPr>
        <w:t>0</w:t>
      </w:r>
    </w:p>
    <w:p>
      <w:pPr>
        <w:pStyle w:val="15"/>
        <w:tabs>
          <w:tab w:val="right" w:leader="dot" w:pos="8302"/>
        </w:tabs>
        <w:spacing w:line="360" w:lineRule="auto"/>
        <w:rPr>
          <w:szCs w:val="24"/>
        </w:rPr>
      </w:pPr>
      <w:r>
        <w:fldChar w:fldCharType="begin"/>
      </w:r>
      <w:r>
        <w:instrText xml:space="preserve"> HYPERLINK \l "_Toc499194853" </w:instrText>
      </w:r>
      <w:r>
        <w:fldChar w:fldCharType="separate"/>
      </w:r>
      <w:r>
        <w:rPr>
          <w:rStyle w:val="24"/>
        </w:rPr>
        <w:t xml:space="preserve">3 </w:t>
      </w:r>
      <w:r>
        <w:rPr>
          <w:rStyle w:val="24"/>
          <w:rFonts w:hint="eastAsia"/>
        </w:rPr>
        <w:t>技术培训</w:t>
      </w:r>
      <w:r>
        <w:tab/>
      </w:r>
      <w:r>
        <w:rPr>
          <w:rFonts w:hint="eastAsia"/>
        </w:rPr>
        <w:t>1</w:t>
      </w:r>
      <w:r>
        <w:rPr>
          <w:rFonts w:hint="eastAsia"/>
        </w:rPr>
        <w:fldChar w:fldCharType="end"/>
      </w:r>
      <w:r>
        <w:rPr>
          <w:rFonts w:hint="eastAsia"/>
        </w:rPr>
        <w:t>2</w:t>
      </w:r>
    </w:p>
    <w:p>
      <w:pPr>
        <w:pStyle w:val="15"/>
        <w:tabs>
          <w:tab w:val="right" w:leader="dot" w:pos="8302"/>
        </w:tabs>
        <w:spacing w:line="360" w:lineRule="auto"/>
        <w:rPr>
          <w:szCs w:val="24"/>
        </w:rPr>
      </w:pPr>
      <w:r>
        <w:fldChar w:fldCharType="begin"/>
      </w:r>
      <w:r>
        <w:instrText xml:space="preserve"> HYPERLINK \l "_Toc499194854" </w:instrText>
      </w:r>
      <w:r>
        <w:fldChar w:fldCharType="separate"/>
      </w:r>
      <w:r>
        <w:rPr>
          <w:rStyle w:val="24"/>
        </w:rPr>
        <w:t xml:space="preserve">4 </w:t>
      </w:r>
      <w:r>
        <w:rPr>
          <w:rStyle w:val="24"/>
          <w:rFonts w:hint="eastAsia"/>
        </w:rPr>
        <w:t>检查和验收</w:t>
      </w:r>
      <w:r>
        <w:tab/>
      </w:r>
      <w:r>
        <w:rPr>
          <w:rFonts w:hint="eastAsia"/>
        </w:rPr>
        <w:t>1</w:t>
      </w:r>
      <w:r>
        <w:rPr>
          <w:rFonts w:hint="eastAsia"/>
        </w:rPr>
        <w:fldChar w:fldCharType="end"/>
      </w:r>
      <w:r>
        <w:rPr>
          <w:rFonts w:hint="eastAsia"/>
        </w:rPr>
        <w:t>2</w:t>
      </w:r>
    </w:p>
    <w:p>
      <w:pPr>
        <w:pStyle w:val="15"/>
        <w:tabs>
          <w:tab w:val="right" w:leader="dot" w:pos="8302"/>
        </w:tabs>
        <w:spacing w:line="360" w:lineRule="auto"/>
        <w:rPr>
          <w:szCs w:val="24"/>
        </w:rPr>
      </w:pPr>
      <w:r>
        <w:fldChar w:fldCharType="begin"/>
      </w:r>
      <w:r>
        <w:instrText xml:space="preserve"> HYPERLINK \l "_Toc499194855" </w:instrText>
      </w:r>
      <w:r>
        <w:fldChar w:fldCharType="separate"/>
      </w:r>
      <w:r>
        <w:rPr>
          <w:rStyle w:val="24"/>
        </w:rPr>
        <w:t xml:space="preserve">5 </w:t>
      </w:r>
      <w:r>
        <w:rPr>
          <w:rStyle w:val="24"/>
          <w:rFonts w:hint="eastAsia"/>
        </w:rPr>
        <w:t>项目管理</w:t>
      </w:r>
      <w:r>
        <w:tab/>
      </w:r>
      <w:r>
        <w:rPr>
          <w:rFonts w:hint="eastAsia"/>
        </w:rPr>
        <w:t>1</w:t>
      </w:r>
      <w:r>
        <w:rPr>
          <w:rFonts w:hint="eastAsia"/>
        </w:rPr>
        <w:fldChar w:fldCharType="end"/>
      </w:r>
      <w:r>
        <w:rPr>
          <w:rFonts w:hint="eastAsia"/>
        </w:rPr>
        <w:t>2</w:t>
      </w:r>
    </w:p>
    <w:p>
      <w:pPr>
        <w:pStyle w:val="18"/>
        <w:tabs>
          <w:tab w:val="right" w:leader="dot" w:pos="8302"/>
        </w:tabs>
        <w:spacing w:line="360" w:lineRule="auto"/>
        <w:ind w:left="220"/>
        <w:rPr>
          <w:szCs w:val="24"/>
        </w:rPr>
      </w:pPr>
      <w:r>
        <w:fldChar w:fldCharType="begin"/>
      </w:r>
      <w:r>
        <w:instrText xml:space="preserve"> HYPERLINK \l "_Toc499194856" </w:instrText>
      </w:r>
      <w:r>
        <w:fldChar w:fldCharType="separate"/>
      </w:r>
      <w:r>
        <w:rPr>
          <w:rStyle w:val="24"/>
        </w:rPr>
        <w:t>5.1</w:t>
      </w:r>
      <w:r>
        <w:rPr>
          <w:rStyle w:val="24"/>
          <w:rFonts w:hint="eastAsia"/>
        </w:rPr>
        <w:t>项目管理</w:t>
      </w:r>
      <w:r>
        <w:tab/>
      </w:r>
      <w:r>
        <w:rPr>
          <w:rFonts w:hint="eastAsia"/>
        </w:rPr>
        <w:t>1</w:t>
      </w:r>
      <w:r>
        <w:rPr>
          <w:rFonts w:hint="eastAsia"/>
        </w:rPr>
        <w:fldChar w:fldCharType="end"/>
      </w:r>
      <w:r>
        <w:rPr>
          <w:rFonts w:hint="eastAsia"/>
        </w:rPr>
        <w:t>2</w:t>
      </w:r>
    </w:p>
    <w:p>
      <w:pPr>
        <w:pStyle w:val="18"/>
        <w:tabs>
          <w:tab w:val="right" w:leader="dot" w:pos="8302"/>
        </w:tabs>
        <w:spacing w:line="360" w:lineRule="auto"/>
        <w:ind w:left="220"/>
        <w:rPr>
          <w:szCs w:val="24"/>
        </w:rPr>
      </w:pPr>
      <w:r>
        <w:fldChar w:fldCharType="begin"/>
      </w:r>
      <w:r>
        <w:instrText xml:space="preserve"> HYPERLINK \l "_Toc499194857" </w:instrText>
      </w:r>
      <w:r>
        <w:fldChar w:fldCharType="separate"/>
      </w:r>
      <w:r>
        <w:rPr>
          <w:rStyle w:val="24"/>
        </w:rPr>
        <w:t>5.2</w:t>
      </w:r>
      <w:r>
        <w:rPr>
          <w:rStyle w:val="24"/>
          <w:rFonts w:hint="eastAsia"/>
        </w:rPr>
        <w:t>培训需求</w:t>
      </w:r>
      <w:r>
        <w:tab/>
      </w:r>
      <w:r>
        <w:rPr>
          <w:rFonts w:hint="eastAsia"/>
        </w:rPr>
        <w:t>1</w:t>
      </w:r>
      <w:r>
        <w:rPr>
          <w:rFonts w:hint="eastAsia"/>
        </w:rPr>
        <w:fldChar w:fldCharType="end"/>
      </w:r>
      <w:r>
        <w:rPr>
          <w:rFonts w:hint="eastAsia"/>
        </w:rPr>
        <w:t>2</w:t>
      </w:r>
    </w:p>
    <w:p>
      <w:pPr>
        <w:pStyle w:val="11"/>
        <w:tabs>
          <w:tab w:val="right" w:leader="dot" w:pos="8302"/>
        </w:tabs>
        <w:spacing w:line="360" w:lineRule="auto"/>
        <w:ind w:left="440"/>
        <w:rPr>
          <w:szCs w:val="24"/>
        </w:rPr>
      </w:pPr>
      <w:r>
        <w:fldChar w:fldCharType="begin"/>
      </w:r>
      <w:r>
        <w:instrText xml:space="preserve"> HYPERLINK \l "_Toc499194858" </w:instrText>
      </w:r>
      <w:r>
        <w:fldChar w:fldCharType="separate"/>
      </w:r>
      <w:r>
        <w:rPr>
          <w:rStyle w:val="24"/>
        </w:rPr>
        <w:t>5.2.1</w:t>
      </w:r>
      <w:r>
        <w:rPr>
          <w:rStyle w:val="24"/>
          <w:rFonts w:hint="eastAsia"/>
        </w:rPr>
        <w:t>培训的目的及要求</w:t>
      </w:r>
      <w:r>
        <w:tab/>
      </w:r>
      <w:r>
        <w:rPr>
          <w:rFonts w:hint="eastAsia"/>
        </w:rPr>
        <w:t>1</w:t>
      </w:r>
      <w:r>
        <w:rPr>
          <w:rFonts w:hint="eastAsia"/>
        </w:rPr>
        <w:fldChar w:fldCharType="end"/>
      </w:r>
      <w:r>
        <w:rPr>
          <w:rFonts w:hint="eastAsia"/>
        </w:rPr>
        <w:t>2</w:t>
      </w:r>
    </w:p>
    <w:p>
      <w:pPr>
        <w:pStyle w:val="11"/>
        <w:tabs>
          <w:tab w:val="right" w:leader="dot" w:pos="8302"/>
        </w:tabs>
        <w:spacing w:line="360" w:lineRule="auto"/>
        <w:ind w:left="440"/>
        <w:rPr>
          <w:szCs w:val="24"/>
        </w:rPr>
      </w:pPr>
      <w:r>
        <w:fldChar w:fldCharType="begin"/>
      </w:r>
      <w:r>
        <w:instrText xml:space="preserve"> HYPERLINK \l "_Toc499194859" </w:instrText>
      </w:r>
      <w:r>
        <w:fldChar w:fldCharType="separate"/>
      </w:r>
      <w:r>
        <w:rPr>
          <w:rStyle w:val="24"/>
        </w:rPr>
        <w:t>5.2.2</w:t>
      </w:r>
      <w:r>
        <w:rPr>
          <w:rStyle w:val="24"/>
          <w:rFonts w:hint="eastAsia"/>
        </w:rPr>
        <w:t>培训方式</w:t>
      </w:r>
      <w:r>
        <w:tab/>
      </w:r>
      <w:r>
        <w:rPr>
          <w:rFonts w:hint="eastAsia"/>
        </w:rPr>
        <w:t>1</w:t>
      </w:r>
      <w:r>
        <w:rPr>
          <w:rFonts w:hint="eastAsia"/>
        </w:rPr>
        <w:fldChar w:fldCharType="end"/>
      </w:r>
      <w:r>
        <w:rPr>
          <w:rFonts w:hint="eastAsia"/>
        </w:rPr>
        <w:t>2</w:t>
      </w:r>
    </w:p>
    <w:p>
      <w:pPr>
        <w:pStyle w:val="11"/>
        <w:tabs>
          <w:tab w:val="right" w:leader="dot" w:pos="8302"/>
        </w:tabs>
        <w:spacing w:line="360" w:lineRule="auto"/>
        <w:ind w:left="440"/>
        <w:rPr>
          <w:szCs w:val="24"/>
        </w:rPr>
      </w:pPr>
      <w:r>
        <w:fldChar w:fldCharType="begin"/>
      </w:r>
      <w:r>
        <w:instrText xml:space="preserve"> HYPERLINK \l "_Toc499194860" </w:instrText>
      </w:r>
      <w:r>
        <w:fldChar w:fldCharType="separate"/>
      </w:r>
      <w:r>
        <w:rPr>
          <w:rStyle w:val="24"/>
        </w:rPr>
        <w:t>5.2.3</w:t>
      </w:r>
      <w:r>
        <w:rPr>
          <w:rStyle w:val="24"/>
          <w:rFonts w:hint="eastAsia"/>
        </w:rPr>
        <w:t>培训内容</w:t>
      </w:r>
      <w:r>
        <w:tab/>
      </w:r>
      <w:r>
        <w:rPr>
          <w:rFonts w:hint="eastAsia"/>
        </w:rPr>
        <w:t>1</w:t>
      </w:r>
      <w:r>
        <w:rPr>
          <w:rFonts w:hint="eastAsia"/>
        </w:rPr>
        <w:fldChar w:fldCharType="end"/>
      </w:r>
      <w:r>
        <w:rPr>
          <w:rFonts w:hint="eastAsia"/>
        </w:rPr>
        <w:t>3</w:t>
      </w:r>
    </w:p>
    <w:p>
      <w:pPr>
        <w:pStyle w:val="18"/>
        <w:tabs>
          <w:tab w:val="right" w:leader="dot" w:pos="8302"/>
        </w:tabs>
        <w:spacing w:line="360" w:lineRule="auto"/>
        <w:ind w:left="220"/>
        <w:rPr>
          <w:szCs w:val="24"/>
        </w:rPr>
      </w:pPr>
      <w:r>
        <w:fldChar w:fldCharType="begin"/>
      </w:r>
      <w:r>
        <w:instrText xml:space="preserve"> HYPERLINK \l "_Toc499194861" </w:instrText>
      </w:r>
      <w:r>
        <w:fldChar w:fldCharType="separate"/>
      </w:r>
      <w:r>
        <w:rPr>
          <w:rStyle w:val="24"/>
        </w:rPr>
        <w:t>5.3</w:t>
      </w:r>
      <w:r>
        <w:rPr>
          <w:rStyle w:val="24"/>
          <w:rFonts w:hint="eastAsia"/>
        </w:rPr>
        <w:t>质量管理</w:t>
      </w:r>
      <w:r>
        <w:tab/>
      </w:r>
      <w:r>
        <w:rPr>
          <w:rFonts w:hint="eastAsia"/>
        </w:rPr>
        <w:t>1</w:t>
      </w:r>
      <w:r>
        <w:rPr>
          <w:rFonts w:hint="eastAsia"/>
        </w:rPr>
        <w:fldChar w:fldCharType="end"/>
      </w:r>
      <w:r>
        <w:rPr>
          <w:rFonts w:hint="eastAsia"/>
        </w:rPr>
        <w:t>3</w:t>
      </w:r>
    </w:p>
    <w:p>
      <w:pPr>
        <w:pStyle w:val="15"/>
        <w:tabs>
          <w:tab w:val="right" w:leader="dot" w:pos="8302"/>
        </w:tabs>
        <w:spacing w:line="360" w:lineRule="auto"/>
        <w:rPr>
          <w:szCs w:val="24"/>
        </w:rPr>
      </w:pPr>
      <w:r>
        <w:fldChar w:fldCharType="begin"/>
      </w:r>
      <w:r>
        <w:instrText xml:space="preserve"> HYPERLINK \l "_Toc499194862" </w:instrText>
      </w:r>
      <w:r>
        <w:fldChar w:fldCharType="separate"/>
      </w:r>
      <w:r>
        <w:rPr>
          <w:rStyle w:val="24"/>
        </w:rPr>
        <w:t xml:space="preserve">6 </w:t>
      </w:r>
      <w:r>
        <w:rPr>
          <w:rStyle w:val="24"/>
          <w:rFonts w:hint="eastAsia"/>
        </w:rPr>
        <w:t>保密条款</w:t>
      </w:r>
      <w:r>
        <w:tab/>
      </w:r>
      <w:r>
        <w:rPr>
          <w:rFonts w:hint="eastAsia"/>
        </w:rPr>
        <w:t>1</w:t>
      </w:r>
      <w:r>
        <w:rPr>
          <w:rFonts w:hint="eastAsia"/>
        </w:rPr>
        <w:fldChar w:fldCharType="end"/>
      </w:r>
      <w:r>
        <w:rPr>
          <w:rFonts w:hint="eastAsia"/>
        </w:rPr>
        <w:t>3</w:t>
      </w:r>
    </w:p>
    <w:p>
      <w:pPr>
        <w:pStyle w:val="15"/>
        <w:tabs>
          <w:tab w:val="right" w:leader="dot" w:pos="8302"/>
        </w:tabs>
        <w:spacing w:line="360" w:lineRule="auto"/>
        <w:rPr>
          <w:szCs w:val="24"/>
        </w:rPr>
      </w:pPr>
      <w:r>
        <w:fldChar w:fldCharType="begin"/>
      </w:r>
      <w:r>
        <w:instrText xml:space="preserve"> HYPERLINK \l "_Toc499194863" </w:instrText>
      </w:r>
      <w:r>
        <w:fldChar w:fldCharType="separate"/>
      </w:r>
      <w:r>
        <w:rPr>
          <w:rStyle w:val="24"/>
        </w:rPr>
        <w:t xml:space="preserve">7 </w:t>
      </w:r>
      <w:r>
        <w:rPr>
          <w:rStyle w:val="24"/>
          <w:rFonts w:hint="eastAsia"/>
        </w:rPr>
        <w:t>知识产权</w:t>
      </w:r>
      <w:r>
        <w:tab/>
      </w:r>
      <w:r>
        <w:rPr>
          <w:rFonts w:hint="eastAsia"/>
        </w:rPr>
        <w:t>1</w:t>
      </w:r>
      <w:r>
        <w:rPr>
          <w:rFonts w:hint="eastAsia"/>
        </w:rPr>
        <w:fldChar w:fldCharType="end"/>
      </w:r>
      <w:r>
        <w:rPr>
          <w:rFonts w:hint="eastAsia"/>
        </w:rPr>
        <w:t>4</w:t>
      </w:r>
    </w:p>
    <w:p>
      <w:pPr>
        <w:pStyle w:val="15"/>
        <w:tabs>
          <w:tab w:val="right" w:leader="dot" w:pos="8302"/>
        </w:tabs>
        <w:spacing w:line="360" w:lineRule="auto"/>
        <w:rPr>
          <w:szCs w:val="24"/>
        </w:rPr>
      </w:pPr>
      <w:r>
        <w:fldChar w:fldCharType="begin"/>
      </w:r>
      <w:r>
        <w:instrText xml:space="preserve"> HYPERLINK \l "_Toc499194864" </w:instrText>
      </w:r>
      <w:r>
        <w:fldChar w:fldCharType="separate"/>
      </w:r>
      <w:r>
        <w:rPr>
          <w:rStyle w:val="24"/>
        </w:rPr>
        <w:t xml:space="preserve">8 </w:t>
      </w:r>
      <w:r>
        <w:rPr>
          <w:rStyle w:val="24"/>
          <w:rFonts w:hint="eastAsia"/>
        </w:rPr>
        <w:t>其它要求</w:t>
      </w:r>
      <w:r>
        <w:tab/>
      </w:r>
      <w:r>
        <w:rPr>
          <w:rFonts w:hint="eastAsia"/>
        </w:rPr>
        <w:t>1</w:t>
      </w:r>
      <w:r>
        <w:rPr>
          <w:rFonts w:hint="eastAsia"/>
        </w:rPr>
        <w:fldChar w:fldCharType="end"/>
      </w:r>
      <w:r>
        <w:rPr>
          <w:rFonts w:hint="eastAsia"/>
        </w:rPr>
        <w:t>4</w:t>
      </w:r>
    </w:p>
    <w:p>
      <w:pPr>
        <w:pStyle w:val="15"/>
        <w:tabs>
          <w:tab w:val="right" w:leader="dot" w:pos="8302"/>
        </w:tabs>
        <w:spacing w:line="360" w:lineRule="auto"/>
        <w:rPr>
          <w:szCs w:val="24"/>
        </w:rPr>
      </w:pPr>
      <w:r>
        <w:fldChar w:fldCharType="begin"/>
      </w:r>
      <w:r>
        <w:instrText xml:space="preserve"> HYPERLINK \l "_Toc499194865" </w:instrText>
      </w:r>
      <w:r>
        <w:fldChar w:fldCharType="separate"/>
      </w:r>
      <w:r>
        <w:rPr>
          <w:rStyle w:val="24"/>
        </w:rPr>
        <w:t xml:space="preserve">9 </w:t>
      </w:r>
      <w:r>
        <w:rPr>
          <w:rStyle w:val="24"/>
          <w:rFonts w:hint="eastAsia"/>
        </w:rPr>
        <w:t>售后服务与技术支持</w:t>
      </w:r>
      <w:r>
        <w:tab/>
      </w:r>
      <w:r>
        <w:fldChar w:fldCharType="begin"/>
      </w:r>
      <w:r>
        <w:instrText xml:space="preserve"> PAGEREF _Toc499194865 \h </w:instrText>
      </w:r>
      <w:r>
        <w:fldChar w:fldCharType="separate"/>
      </w:r>
      <w:r>
        <w:t>1</w:t>
      </w:r>
      <w:r>
        <w:rPr>
          <w:rFonts w:hint="eastAsia"/>
        </w:rPr>
        <w:t>4</w:t>
      </w:r>
      <w:r>
        <w:fldChar w:fldCharType="end"/>
      </w:r>
      <w:r>
        <w:fldChar w:fldCharType="end"/>
      </w:r>
    </w:p>
    <w:p>
      <w:pPr>
        <w:spacing w:line="360" w:lineRule="auto"/>
        <w:rPr>
          <w:sz w:val="24"/>
          <w:szCs w:val="24"/>
        </w:rPr>
        <w:sectPr>
          <w:footerReference r:id="rId8" w:type="first"/>
          <w:pgSz w:w="11906" w:h="16838"/>
          <w:pgMar w:top="1440" w:right="1797" w:bottom="1440" w:left="1797" w:header="851" w:footer="992" w:gutter="0"/>
          <w:pgNumType w:start="1"/>
          <w:cols w:space="720" w:num="1"/>
          <w:titlePg/>
          <w:docGrid w:type="linesAndChars" w:linePitch="312" w:charSpace="0"/>
        </w:sectPr>
      </w:pPr>
      <w:r>
        <w:rPr>
          <w:sz w:val="24"/>
          <w:szCs w:val="24"/>
        </w:rPr>
        <w:fldChar w:fldCharType="end"/>
      </w:r>
    </w:p>
    <w:bookmarkEnd w:id="0"/>
    <w:p>
      <w:pPr>
        <w:pStyle w:val="2"/>
        <w:ind w:left="420" w:hanging="420"/>
        <w:jc w:val="both"/>
        <w:rPr>
          <w:rFonts w:ascii="Times New Roman" w:hAnsi="Times New Roman" w:eastAsia="宋体"/>
          <w:bCs w:val="0"/>
          <w:kern w:val="2"/>
          <w:sz w:val="30"/>
          <w:szCs w:val="30"/>
        </w:rPr>
      </w:pPr>
      <w:bookmarkStart w:id="5" w:name="_Toc499194839"/>
      <w:bookmarkStart w:id="6" w:name="_Toc386126446"/>
      <w:r>
        <w:rPr>
          <w:rFonts w:ascii="Times New Roman" w:hAnsi="Times New Roman" w:eastAsia="宋体"/>
          <w:bCs w:val="0"/>
          <w:kern w:val="2"/>
          <w:sz w:val="30"/>
          <w:szCs w:val="30"/>
        </w:rPr>
        <w:t>招标说明</w:t>
      </w:r>
      <w:bookmarkEnd w:id="1"/>
      <w:bookmarkEnd w:id="2"/>
      <w:bookmarkEnd w:id="5"/>
      <w:bookmarkEnd w:id="6"/>
    </w:p>
    <w:p>
      <w:pPr>
        <w:spacing w:line="360" w:lineRule="auto"/>
        <w:ind w:firstLine="360" w:firstLineChars="150"/>
        <w:rPr>
          <w:sz w:val="24"/>
          <w:szCs w:val="24"/>
        </w:rPr>
      </w:pPr>
      <w:r>
        <w:rPr>
          <w:sz w:val="24"/>
          <w:szCs w:val="24"/>
        </w:rPr>
        <w:t>本部分为</w:t>
      </w:r>
      <w:r>
        <w:rPr>
          <w:rFonts w:hint="eastAsia"/>
          <w:sz w:val="24"/>
          <w:szCs w:val="24"/>
          <w:lang w:eastAsia="zh-CN"/>
        </w:rPr>
        <w:t>国网淮北供电公司2019年反恐升降柱装置维护</w:t>
      </w:r>
      <w:r>
        <w:rPr>
          <w:sz w:val="24"/>
          <w:szCs w:val="24"/>
        </w:rPr>
        <w:t>项目招标文件的技术部分。供应商应仔细阅读并理解本招标文件的要求，所提供的全部工作内容与服务方式应满足本招标文件的要求，不应有偏差，若有偏差应在偏差表中做出真实详细的说明。</w:t>
      </w:r>
    </w:p>
    <w:p>
      <w:pPr>
        <w:spacing w:line="360" w:lineRule="auto"/>
        <w:ind w:firstLine="480" w:firstLineChars="200"/>
        <w:rPr>
          <w:sz w:val="24"/>
          <w:szCs w:val="24"/>
        </w:rPr>
      </w:pPr>
      <w:r>
        <w:rPr>
          <w:sz w:val="24"/>
          <w:szCs w:val="24"/>
        </w:rPr>
        <w:t>本招标文件的解释权归采购人。</w:t>
      </w:r>
    </w:p>
    <w:p>
      <w:pPr>
        <w:spacing w:line="360" w:lineRule="auto"/>
        <w:ind w:firstLine="482" w:firstLineChars="200"/>
        <w:rPr>
          <w:b/>
          <w:sz w:val="24"/>
          <w:szCs w:val="24"/>
        </w:rPr>
      </w:pPr>
      <w:r>
        <w:rPr>
          <w:b/>
          <w:sz w:val="24"/>
          <w:szCs w:val="24"/>
        </w:rPr>
        <w:t>本招标文件所规定的条款将作为日后合同签订的重要依据。</w:t>
      </w:r>
    </w:p>
    <w:p>
      <w:pPr>
        <w:pStyle w:val="3"/>
        <w:rPr>
          <w:rFonts w:ascii="Times New Roman" w:hAnsi="Times New Roman"/>
          <w:bCs w:val="0"/>
          <w:sz w:val="24"/>
          <w:szCs w:val="24"/>
        </w:rPr>
      </w:pPr>
      <w:bookmarkStart w:id="7" w:name="_Toc16459"/>
      <w:bookmarkStart w:id="8" w:name="_Toc386126447"/>
      <w:bookmarkStart w:id="9" w:name="_Toc499194840"/>
      <w:bookmarkStart w:id="10" w:name="_Toc385841924"/>
      <w:r>
        <w:rPr>
          <w:rFonts w:ascii="Times New Roman" w:hAnsi="Times New Roman"/>
          <w:bCs w:val="0"/>
          <w:sz w:val="24"/>
          <w:szCs w:val="24"/>
        </w:rPr>
        <w:t>基本规定</w:t>
      </w:r>
      <w:bookmarkEnd w:id="7"/>
      <w:bookmarkEnd w:id="8"/>
      <w:bookmarkEnd w:id="9"/>
      <w:bookmarkEnd w:id="10"/>
    </w:p>
    <w:p>
      <w:pPr>
        <w:spacing w:line="360" w:lineRule="auto"/>
        <w:ind w:firstLine="480" w:firstLineChars="200"/>
        <w:rPr>
          <w:sz w:val="24"/>
          <w:szCs w:val="24"/>
        </w:rPr>
      </w:pPr>
      <w:r>
        <w:rPr>
          <w:sz w:val="24"/>
          <w:szCs w:val="24"/>
        </w:rPr>
        <w:t>本文件是</w:t>
      </w:r>
      <w:r>
        <w:rPr>
          <w:rFonts w:hint="eastAsia"/>
          <w:sz w:val="24"/>
          <w:szCs w:val="24"/>
          <w:lang w:eastAsia="zh-CN"/>
        </w:rPr>
        <w:t>国网淮北供电公司2019年反恐升降柱装置维护</w:t>
      </w:r>
      <w:r>
        <w:rPr>
          <w:sz w:val="24"/>
          <w:szCs w:val="24"/>
        </w:rPr>
        <w:t>项目的技术规范书, 包括了本项目可能所需的全部工作内容与服务方式总体要求，是对系统的供应商(以下简称投标方)提出的技术规范及要求。非国际通用的术语以本规范书的定义为准，术语的解释权在招标方。</w:t>
      </w:r>
    </w:p>
    <w:p>
      <w:pPr>
        <w:spacing w:line="360" w:lineRule="auto"/>
        <w:ind w:firstLine="480" w:firstLineChars="200"/>
        <w:rPr>
          <w:sz w:val="24"/>
        </w:rPr>
      </w:pPr>
      <w:r>
        <w:rPr>
          <w:sz w:val="24"/>
        </w:rPr>
        <w:t>（1）本技术规范书是为</w:t>
      </w:r>
      <w:r>
        <w:rPr>
          <w:rFonts w:hint="eastAsia"/>
          <w:sz w:val="24"/>
          <w:szCs w:val="24"/>
          <w:lang w:eastAsia="zh-CN"/>
        </w:rPr>
        <w:t>国网淮北供电公司2019年反恐升降柱装置维护</w:t>
      </w:r>
      <w:r>
        <w:rPr>
          <w:sz w:val="24"/>
          <w:szCs w:val="24"/>
        </w:rPr>
        <w:t>项目</w:t>
      </w:r>
      <w:r>
        <w:rPr>
          <w:sz w:val="24"/>
        </w:rPr>
        <w:t>提出技术上的规范和说明。内容包括合作内容、合作方式及所有必需的其它事项。本技术规范书提供给</w:t>
      </w:r>
      <w:r>
        <w:rPr>
          <w:rFonts w:hint="eastAsia"/>
          <w:sz w:val="24"/>
        </w:rPr>
        <w:t>国网</w:t>
      </w:r>
      <w:r>
        <w:rPr>
          <w:rFonts w:hint="eastAsia"/>
          <w:sz w:val="24"/>
          <w:lang w:eastAsia="zh-CN"/>
        </w:rPr>
        <w:t>淮北</w:t>
      </w:r>
      <w:r>
        <w:rPr>
          <w:rFonts w:hint="eastAsia"/>
          <w:sz w:val="24"/>
        </w:rPr>
        <w:t>供电公司</w:t>
      </w:r>
      <w:r>
        <w:rPr>
          <w:sz w:val="24"/>
          <w:szCs w:val="24"/>
        </w:rPr>
        <w:t>该项目的投标方</w:t>
      </w:r>
      <w:r>
        <w:rPr>
          <w:sz w:val="24"/>
        </w:rPr>
        <w:t>，作为其编写实施方案和报价之用。</w:t>
      </w:r>
    </w:p>
    <w:p>
      <w:pPr>
        <w:spacing w:line="360" w:lineRule="auto"/>
        <w:ind w:firstLine="480" w:firstLineChars="200"/>
        <w:rPr>
          <w:sz w:val="24"/>
        </w:rPr>
      </w:pPr>
      <w:r>
        <w:rPr>
          <w:sz w:val="24"/>
        </w:rPr>
        <w:t>（2）本次项目招标采购的招标方为</w:t>
      </w:r>
      <w:r>
        <w:rPr>
          <w:rFonts w:hint="eastAsia"/>
          <w:sz w:val="24"/>
        </w:rPr>
        <w:t>国网</w:t>
      </w:r>
      <w:r>
        <w:rPr>
          <w:rFonts w:hint="eastAsia"/>
          <w:sz w:val="24"/>
          <w:lang w:eastAsia="zh-CN"/>
        </w:rPr>
        <w:t>淮北</w:t>
      </w:r>
      <w:r>
        <w:rPr>
          <w:rFonts w:hint="eastAsia"/>
          <w:sz w:val="24"/>
        </w:rPr>
        <w:t>供电公司</w:t>
      </w:r>
      <w:r>
        <w:rPr>
          <w:sz w:val="24"/>
        </w:rPr>
        <w:t>，用户方为</w:t>
      </w:r>
      <w:r>
        <w:rPr>
          <w:rFonts w:hint="eastAsia"/>
          <w:sz w:val="24"/>
        </w:rPr>
        <w:t>国网</w:t>
      </w:r>
      <w:r>
        <w:rPr>
          <w:rFonts w:hint="eastAsia"/>
          <w:sz w:val="24"/>
          <w:lang w:eastAsia="zh-CN"/>
        </w:rPr>
        <w:t>淮北</w:t>
      </w:r>
      <w:r>
        <w:rPr>
          <w:rFonts w:hint="eastAsia"/>
          <w:sz w:val="24"/>
        </w:rPr>
        <w:t>供电公司</w:t>
      </w:r>
      <w:r>
        <w:rPr>
          <w:sz w:val="24"/>
        </w:rPr>
        <w:t>，投标方为</w:t>
      </w:r>
      <w:r>
        <w:rPr>
          <w:rFonts w:hint="eastAsia"/>
          <w:sz w:val="24"/>
          <w:szCs w:val="24"/>
          <w:lang w:eastAsia="zh-CN"/>
        </w:rPr>
        <w:t>国网淮北供电公司2019年反恐升降柱装置维护</w:t>
      </w:r>
      <w:r>
        <w:rPr>
          <w:sz w:val="24"/>
          <w:szCs w:val="24"/>
        </w:rPr>
        <w:t>项目的投标单位</w:t>
      </w:r>
      <w:r>
        <w:rPr>
          <w:sz w:val="24"/>
        </w:rPr>
        <w:t>。</w:t>
      </w:r>
    </w:p>
    <w:p>
      <w:pPr>
        <w:spacing w:line="360" w:lineRule="auto"/>
        <w:ind w:firstLine="480" w:firstLineChars="200"/>
        <w:rPr>
          <w:sz w:val="24"/>
        </w:rPr>
      </w:pPr>
      <w:r>
        <w:rPr>
          <w:sz w:val="24"/>
        </w:rPr>
        <w:t>（3）本技术规范书中提出的仅为最低限度的技术要求，并未对一切技术细节做出规定，也未充分引述有关标准和规范的条文。投标方必须仔细阅读技术规范书的全部条款，提供完全满足技术规范书所规定要求相应的技术服务。</w:t>
      </w:r>
    </w:p>
    <w:p>
      <w:pPr>
        <w:spacing w:line="360" w:lineRule="auto"/>
        <w:ind w:firstLine="480" w:firstLineChars="200"/>
        <w:rPr>
          <w:sz w:val="24"/>
        </w:rPr>
      </w:pPr>
      <w:r>
        <w:rPr>
          <w:sz w:val="24"/>
        </w:rPr>
        <w:t>（4）本技术规范书的解释权属于招标方。未经招标方同意，任何个人和单位不得对技术规范书做出任何修改。在未经双方商定作为合同技术附件之前，招标方单位保留技术规范书修改的权利，可以及时提出变更的意见和建议；同时买卖双方签订合同之后，招标方有权提出因规范标准和规程发生变化、与相关系统接口要求改变以及安装环境发生变化等所产生的一些补充要求，具体事项由买卖双方共同商定。</w:t>
      </w:r>
    </w:p>
    <w:p>
      <w:pPr>
        <w:spacing w:line="360" w:lineRule="auto"/>
        <w:ind w:firstLine="480" w:firstLineChars="200"/>
        <w:rPr>
          <w:sz w:val="24"/>
        </w:rPr>
      </w:pPr>
      <w:r>
        <w:rPr>
          <w:sz w:val="24"/>
        </w:rPr>
        <w:t>（5）技术规范书经买卖双方确认后，作为合同的第一附件，与合同正本具有同等的法律效力。</w:t>
      </w:r>
    </w:p>
    <w:p>
      <w:pPr>
        <w:spacing w:line="360" w:lineRule="auto"/>
        <w:ind w:firstLine="480" w:firstLineChars="200"/>
        <w:rPr>
          <w:sz w:val="24"/>
        </w:rPr>
      </w:pPr>
      <w:r>
        <w:rPr>
          <w:sz w:val="24"/>
        </w:rPr>
        <w:t>（6）本技术规范书中未尽事宜，由买卖双方在合同技术谈判时协商确定。</w:t>
      </w:r>
    </w:p>
    <w:p>
      <w:pPr>
        <w:pStyle w:val="3"/>
        <w:rPr>
          <w:rFonts w:ascii="Times New Roman" w:hAnsi="Times New Roman"/>
          <w:bCs w:val="0"/>
          <w:sz w:val="24"/>
          <w:szCs w:val="24"/>
        </w:rPr>
      </w:pPr>
      <w:bookmarkStart w:id="11" w:name="_Toc499194841"/>
      <w:bookmarkStart w:id="12" w:name="_Toc12053"/>
      <w:bookmarkStart w:id="13" w:name="_Toc1456"/>
      <w:bookmarkStart w:id="14" w:name="_Toc110415636"/>
      <w:bookmarkStart w:id="15" w:name="_Toc323867193"/>
      <w:bookmarkStart w:id="16" w:name="_Toc205979783"/>
      <w:bookmarkStart w:id="17" w:name="_Toc386126448"/>
      <w:bookmarkStart w:id="18" w:name="_Toc17098216"/>
      <w:bookmarkStart w:id="19" w:name="_Toc289519937"/>
      <w:bookmarkStart w:id="20" w:name="_Toc27715"/>
      <w:bookmarkStart w:id="21" w:name="_Toc385841925"/>
      <w:bookmarkStart w:id="22" w:name="_Toc27718"/>
      <w:bookmarkStart w:id="23" w:name="_Toc16645"/>
      <w:r>
        <w:rPr>
          <w:rFonts w:ascii="Times New Roman" w:hAnsi="Times New Roman"/>
          <w:bCs w:val="0"/>
          <w:sz w:val="24"/>
          <w:szCs w:val="24"/>
        </w:rPr>
        <w:t>投标须知</w:t>
      </w:r>
      <w:bookmarkEnd w:id="11"/>
      <w:bookmarkEnd w:id="12"/>
      <w:bookmarkEnd w:id="13"/>
      <w:bookmarkEnd w:id="14"/>
      <w:bookmarkEnd w:id="15"/>
      <w:bookmarkEnd w:id="16"/>
      <w:bookmarkEnd w:id="17"/>
      <w:bookmarkEnd w:id="18"/>
      <w:bookmarkEnd w:id="19"/>
      <w:bookmarkEnd w:id="20"/>
      <w:bookmarkEnd w:id="21"/>
      <w:bookmarkEnd w:id="22"/>
      <w:bookmarkEnd w:id="23"/>
    </w:p>
    <w:p>
      <w:pPr>
        <w:spacing w:line="360" w:lineRule="auto"/>
        <w:ind w:firstLine="480" w:firstLineChars="200"/>
        <w:rPr>
          <w:sz w:val="24"/>
        </w:rPr>
      </w:pPr>
      <w:r>
        <w:rPr>
          <w:sz w:val="24"/>
        </w:rPr>
        <w:t>（1）投标方投标时须严格按照本技术规范书进行一一应答，并为招标方提供一个整体的详尽的技术方案建议书，内容涉及本规范书的各章各项。投标方应在其建议书中对本技术规范书的所有要求逐项如实答复说明，并附有详细、全面的技术资料，否则将被认作没有回答。投标方的建议书必须清楚地指明所响应规范书中各章各项要求的实际指标值，以说明是否满足其要求。如果不满足规范书要求，投标方应在投标书中以“对招标文件的意见和与技术规范书的差异”为标题的专门章节中加以详细描述。</w:t>
      </w:r>
    </w:p>
    <w:p>
      <w:pPr>
        <w:spacing w:line="360" w:lineRule="auto"/>
        <w:ind w:firstLine="480" w:firstLineChars="200"/>
        <w:rPr>
          <w:sz w:val="24"/>
        </w:rPr>
      </w:pPr>
      <w:r>
        <w:rPr>
          <w:sz w:val="24"/>
        </w:rPr>
        <w:t>（2）投标书必须由投标单位法人代表签字，或由其书面授权的代表人签字，并加盖本单位公章，否则该标书视为无效标书。</w:t>
      </w:r>
    </w:p>
    <w:p>
      <w:pPr>
        <w:spacing w:line="360" w:lineRule="auto"/>
        <w:ind w:firstLine="480" w:firstLineChars="200"/>
        <w:rPr>
          <w:sz w:val="24"/>
        </w:rPr>
      </w:pPr>
      <w:r>
        <w:rPr>
          <w:sz w:val="24"/>
        </w:rPr>
        <w:t>（3）对于本技术规范书未能提出但投标方系统已具有的功能及相关技术性能指标，投标方应在其技术建议书中加以补充说明，并提供相关技术资料。如果投标方认为本技术规范书所描述的</w:t>
      </w:r>
      <w:r>
        <w:rPr>
          <w:sz w:val="24"/>
          <w:szCs w:val="24"/>
        </w:rPr>
        <w:t>全部工作内容、服务方式</w:t>
      </w:r>
      <w:r>
        <w:rPr>
          <w:sz w:val="24"/>
        </w:rPr>
        <w:t>等与目标系统要求有所不一致或部分要求不合理，可在响应原要求后给出建议方案及设备配置。</w:t>
      </w:r>
    </w:p>
    <w:p>
      <w:pPr>
        <w:spacing w:line="360" w:lineRule="auto"/>
        <w:ind w:firstLine="480" w:firstLineChars="200"/>
        <w:rPr>
          <w:sz w:val="24"/>
        </w:rPr>
      </w:pPr>
      <w:r>
        <w:rPr>
          <w:sz w:val="24"/>
        </w:rPr>
        <w:t>（4）本技术规范书所使用的标准如与招标方所执行的标准不一致时，按最新版本且更高一级的标准执行。</w:t>
      </w:r>
    </w:p>
    <w:p>
      <w:pPr>
        <w:spacing w:line="360" w:lineRule="auto"/>
        <w:ind w:firstLine="480" w:firstLineChars="200"/>
        <w:rPr>
          <w:sz w:val="24"/>
        </w:rPr>
      </w:pPr>
      <w:r>
        <w:rPr>
          <w:sz w:val="24"/>
        </w:rPr>
        <w:t>（5）投标方在其投标建议书中应对建议的每个硬件和软件(包括型号/部件号)必须逐一准确说明，对每个单项产品，投标方必须提供原厂商的正式技术指标说明材料。投标方认为需特殊说明的部分应附有详细的技术资料。</w:t>
      </w:r>
    </w:p>
    <w:p>
      <w:pPr>
        <w:spacing w:line="360" w:lineRule="auto"/>
        <w:ind w:firstLine="480" w:firstLineChars="200"/>
        <w:rPr>
          <w:sz w:val="24"/>
        </w:rPr>
      </w:pPr>
      <w:r>
        <w:rPr>
          <w:sz w:val="24"/>
        </w:rPr>
        <w:t>（6）投标方建议书的内容应该包括招标方要求的全部</w:t>
      </w:r>
      <w:r>
        <w:rPr>
          <w:sz w:val="24"/>
          <w:szCs w:val="24"/>
        </w:rPr>
        <w:t>全部工作内容与服务方式</w:t>
      </w:r>
      <w:r>
        <w:rPr>
          <w:sz w:val="24"/>
        </w:rPr>
        <w:t>等，其它需要报价的也应在清单中给出，以保证所购研究成果得能确认。否则，相关费用被视为已包含在报价中或视为免费。</w:t>
      </w:r>
    </w:p>
    <w:p>
      <w:pPr>
        <w:spacing w:line="360" w:lineRule="auto"/>
        <w:ind w:firstLine="480" w:firstLineChars="200"/>
        <w:rPr>
          <w:sz w:val="24"/>
        </w:rPr>
      </w:pPr>
      <w:r>
        <w:rPr>
          <w:sz w:val="24"/>
        </w:rPr>
        <w:t>（7）本技术规范书在内容或技术指标上如果存在错误(包括印刷错误)，投标方可在建议书中提出，经双方确认后对错误内容进行修正。</w:t>
      </w:r>
    </w:p>
    <w:p>
      <w:pPr>
        <w:pStyle w:val="3"/>
        <w:rPr>
          <w:rFonts w:ascii="Times New Roman" w:hAnsi="Times New Roman"/>
          <w:bCs w:val="0"/>
          <w:sz w:val="24"/>
          <w:szCs w:val="24"/>
        </w:rPr>
      </w:pPr>
      <w:bookmarkStart w:id="24" w:name="_Toc499194842"/>
      <w:bookmarkStart w:id="25" w:name="_Toc385841926"/>
      <w:bookmarkStart w:id="26" w:name="_Toc386126449"/>
      <w:r>
        <w:rPr>
          <w:rFonts w:ascii="Times New Roman" w:hAnsi="Times New Roman"/>
          <w:bCs w:val="0"/>
          <w:sz w:val="24"/>
          <w:szCs w:val="24"/>
        </w:rPr>
        <w:t xml:space="preserve"> 对投标厂家的资质业绩及其他要求</w:t>
      </w:r>
      <w:bookmarkEnd w:id="24"/>
      <w:bookmarkEnd w:id="25"/>
      <w:bookmarkEnd w:id="26"/>
    </w:p>
    <w:p>
      <w:pPr>
        <w:spacing w:line="360" w:lineRule="auto"/>
        <w:ind w:firstLine="482" w:firstLineChars="200"/>
        <w:rPr>
          <w:sz w:val="24"/>
        </w:rPr>
      </w:pPr>
      <w:bookmarkStart w:id="27" w:name="_Toc499194843"/>
      <w:r>
        <w:rPr>
          <w:rFonts w:hint="eastAsia" w:ascii="Times New Roman" w:hAnsi="Times New Roman"/>
          <w:b/>
          <w:bCs/>
          <w:sz w:val="24"/>
          <w:szCs w:val="24"/>
        </w:rPr>
        <w:t xml:space="preserve"> 资质业绩要求</w:t>
      </w:r>
      <w:bookmarkEnd w:id="27"/>
      <w:r>
        <w:rPr>
          <w:rFonts w:hint="eastAsia"/>
          <w:sz w:val="24"/>
        </w:rPr>
        <w:t xml:space="preserve">   </w:t>
      </w:r>
    </w:p>
    <w:p>
      <w:pPr>
        <w:spacing w:line="360" w:lineRule="auto"/>
        <w:ind w:firstLine="480" w:firstLineChars="200"/>
        <w:rPr>
          <w:sz w:val="24"/>
        </w:rPr>
      </w:pPr>
      <w:r>
        <w:rPr>
          <w:rFonts w:hint="eastAsia"/>
          <w:sz w:val="24"/>
        </w:rPr>
        <w:t>（1）</w:t>
      </w:r>
      <w:r>
        <w:rPr>
          <w:rFonts w:hint="eastAsia"/>
          <w:sz w:val="24"/>
          <w:lang w:eastAsia="zh-CN"/>
        </w:rPr>
        <w:t>提供不少于</w:t>
      </w:r>
      <w:r>
        <w:rPr>
          <w:rFonts w:hint="eastAsia"/>
          <w:sz w:val="24"/>
          <w:lang w:val="en-US" w:eastAsia="zh-CN"/>
        </w:rPr>
        <w:t>2家</w:t>
      </w:r>
      <w:r>
        <w:rPr>
          <w:rFonts w:hint="eastAsia"/>
          <w:sz w:val="24"/>
        </w:rPr>
        <w:t>相关业绩并提供合同复印件。</w:t>
      </w:r>
    </w:p>
    <w:p>
      <w:pPr>
        <w:spacing w:line="360" w:lineRule="auto"/>
        <w:ind w:firstLine="480" w:firstLineChars="200"/>
        <w:rPr>
          <w:sz w:val="24"/>
        </w:rPr>
      </w:pPr>
      <w:bookmarkStart w:id="28" w:name="_Toc386126450"/>
      <w:bookmarkStart w:id="29" w:name="_Toc8883"/>
      <w:bookmarkStart w:id="30" w:name="_Toc385841927"/>
      <w:bookmarkStart w:id="31" w:name="_Toc6728"/>
      <w:r>
        <w:rPr>
          <w:sz w:val="24"/>
        </w:rPr>
        <w:t>（</w:t>
      </w:r>
      <w:r>
        <w:rPr>
          <w:rFonts w:hint="eastAsia"/>
          <w:sz w:val="24"/>
        </w:rPr>
        <w:t>2</w:t>
      </w:r>
      <w:r>
        <w:rPr>
          <w:sz w:val="24"/>
        </w:rPr>
        <w:t>）投标方中标后坚决不允许二次违规转包。</w:t>
      </w:r>
    </w:p>
    <w:p>
      <w:pPr>
        <w:spacing w:line="360" w:lineRule="auto"/>
        <w:ind w:firstLine="480" w:firstLineChars="200"/>
        <w:rPr>
          <w:sz w:val="24"/>
        </w:rPr>
      </w:pPr>
      <w:r>
        <w:rPr>
          <w:sz w:val="24"/>
        </w:rPr>
        <w:t>（</w:t>
      </w:r>
      <w:r>
        <w:rPr>
          <w:rFonts w:hint="eastAsia"/>
          <w:sz w:val="24"/>
        </w:rPr>
        <w:t>3</w:t>
      </w:r>
      <w:r>
        <w:rPr>
          <w:sz w:val="24"/>
        </w:rPr>
        <w:t>）投标方需对技术规范书内所列资质等所有要求进行无偏差响应应答。</w:t>
      </w:r>
    </w:p>
    <w:p>
      <w:pPr>
        <w:pStyle w:val="3"/>
        <w:rPr>
          <w:rFonts w:ascii="Times New Roman" w:hAnsi="Times New Roman"/>
          <w:bCs w:val="0"/>
          <w:sz w:val="24"/>
          <w:szCs w:val="24"/>
        </w:rPr>
      </w:pPr>
      <w:bookmarkStart w:id="32" w:name="_Toc499194845"/>
      <w:r>
        <w:rPr>
          <w:rFonts w:ascii="Times New Roman" w:hAnsi="Times New Roman"/>
          <w:bCs w:val="0"/>
          <w:sz w:val="24"/>
          <w:szCs w:val="24"/>
        </w:rPr>
        <w:t xml:space="preserve"> 双方职责</w:t>
      </w:r>
      <w:bookmarkEnd w:id="28"/>
      <w:bookmarkEnd w:id="29"/>
      <w:bookmarkEnd w:id="30"/>
      <w:bookmarkEnd w:id="31"/>
      <w:bookmarkEnd w:id="32"/>
    </w:p>
    <w:p>
      <w:pPr>
        <w:pStyle w:val="4"/>
        <w:tabs>
          <w:tab w:val="left" w:pos="432"/>
        </w:tabs>
        <w:spacing w:before="0" w:line="360" w:lineRule="auto"/>
        <w:rPr>
          <w:sz w:val="24"/>
          <w:szCs w:val="24"/>
        </w:rPr>
      </w:pPr>
      <w:bookmarkStart w:id="33" w:name="_Toc22107"/>
      <w:bookmarkStart w:id="34" w:name="_Toc7277"/>
      <w:bookmarkStart w:id="35" w:name="_Toc323867195"/>
      <w:bookmarkStart w:id="36" w:name="_Toc499194846"/>
      <w:bookmarkStart w:id="37" w:name="_Toc386126451"/>
      <w:bookmarkStart w:id="38" w:name="_Toc385841928"/>
      <w:r>
        <w:rPr>
          <w:sz w:val="24"/>
          <w:szCs w:val="24"/>
        </w:rPr>
        <w:t xml:space="preserve"> 投标方的责任</w:t>
      </w:r>
      <w:bookmarkEnd w:id="33"/>
      <w:bookmarkEnd w:id="34"/>
      <w:bookmarkEnd w:id="35"/>
      <w:bookmarkEnd w:id="36"/>
      <w:bookmarkEnd w:id="37"/>
      <w:bookmarkEnd w:id="38"/>
    </w:p>
    <w:p>
      <w:pPr>
        <w:spacing w:line="360" w:lineRule="auto"/>
        <w:ind w:firstLine="480" w:firstLineChars="200"/>
        <w:rPr>
          <w:sz w:val="24"/>
        </w:rPr>
      </w:pPr>
      <w:bookmarkStart w:id="39" w:name="_Toc386126452"/>
      <w:bookmarkStart w:id="40" w:name="_Toc385841929"/>
      <w:bookmarkStart w:id="41" w:name="_Toc323867196"/>
      <w:bookmarkStart w:id="42" w:name="_Toc31739"/>
      <w:bookmarkStart w:id="43" w:name="_Toc4748"/>
      <w:r>
        <w:rPr>
          <w:sz w:val="24"/>
        </w:rPr>
        <w:t>（1）提供合同规定的所有技术服务(包括第三方提供的技术服务)，并保证系统完全符合最终技术规范的要求。如果系统中含有第三方技术服务，投标方也应负有和投标方提供的软件产品相同的责任。</w:t>
      </w:r>
    </w:p>
    <w:p>
      <w:pPr>
        <w:spacing w:line="360" w:lineRule="auto"/>
        <w:ind w:firstLine="480" w:firstLineChars="200"/>
        <w:rPr>
          <w:sz w:val="24"/>
        </w:rPr>
      </w:pPr>
      <w:r>
        <w:rPr>
          <w:sz w:val="24"/>
        </w:rPr>
        <w:t>（2）提供必需的系统维护技术资料和文件，并对其正确性负责。</w:t>
      </w:r>
    </w:p>
    <w:p>
      <w:pPr>
        <w:spacing w:line="360" w:lineRule="auto"/>
        <w:ind w:firstLine="480" w:firstLineChars="200"/>
        <w:rPr>
          <w:sz w:val="24"/>
        </w:rPr>
      </w:pPr>
      <w:r>
        <w:rPr>
          <w:sz w:val="24"/>
        </w:rPr>
        <w:t>（3）负责在投标方地点举行的设计交底联络会，参加在招标方地点举行的设计交底联络会。</w:t>
      </w:r>
    </w:p>
    <w:p>
      <w:pPr>
        <w:spacing w:line="360" w:lineRule="auto"/>
        <w:ind w:firstLine="480" w:firstLineChars="200"/>
        <w:rPr>
          <w:sz w:val="24"/>
        </w:rPr>
      </w:pPr>
      <w:r>
        <w:rPr>
          <w:sz w:val="24"/>
        </w:rPr>
        <w:t>（4）负责进行新增需求或需求变更的设计、现场调试、制定应急预案和参加现场验收。</w:t>
      </w:r>
    </w:p>
    <w:p>
      <w:pPr>
        <w:spacing w:line="360" w:lineRule="auto"/>
        <w:ind w:firstLine="480" w:firstLineChars="200"/>
        <w:rPr>
          <w:sz w:val="24"/>
        </w:rPr>
      </w:pPr>
      <w:r>
        <w:rPr>
          <w:sz w:val="24"/>
        </w:rPr>
        <w:t>（5）负责对招标方专业人员的技术培训，并提供必要的培训资料。</w:t>
      </w:r>
    </w:p>
    <w:p>
      <w:pPr>
        <w:spacing w:line="360" w:lineRule="auto"/>
        <w:ind w:firstLine="480" w:firstLineChars="200"/>
        <w:rPr>
          <w:sz w:val="24"/>
        </w:rPr>
      </w:pPr>
      <w:r>
        <w:rPr>
          <w:sz w:val="24"/>
        </w:rPr>
        <w:t>（6）应为用户提供良好的现场技术服务。维护期间及时派遣专家到现场处理故障和进行技术指导。</w:t>
      </w:r>
    </w:p>
    <w:p>
      <w:pPr>
        <w:spacing w:line="360" w:lineRule="auto"/>
        <w:ind w:firstLine="480" w:firstLineChars="200"/>
        <w:rPr>
          <w:sz w:val="24"/>
        </w:rPr>
      </w:pPr>
      <w:r>
        <w:rPr>
          <w:sz w:val="24"/>
        </w:rPr>
        <w:t>（7）在制定建设方案的建设实施过程中，投标方应在与招标方充分沟通并密切合作的情况下进行。在实施过程中投标方也应遵从招标方相关管理规定和要求。</w:t>
      </w:r>
    </w:p>
    <w:p>
      <w:pPr>
        <w:spacing w:line="360" w:lineRule="auto"/>
        <w:ind w:firstLine="480" w:firstLineChars="200"/>
        <w:rPr>
          <w:sz w:val="24"/>
        </w:rPr>
      </w:pPr>
      <w:r>
        <w:rPr>
          <w:sz w:val="24"/>
        </w:rPr>
        <w:t>（8）投标方负责在维护服务期间的信息安全保密工作，并制定相应的安全措施，与维护人员签订保密协议，同时要确保维护人员资质、数量和能力。投标方应有义务与招标方签订安全保密协议。</w:t>
      </w:r>
    </w:p>
    <w:p>
      <w:pPr>
        <w:spacing w:line="360" w:lineRule="auto"/>
        <w:ind w:firstLine="480" w:firstLineChars="200"/>
        <w:rPr>
          <w:sz w:val="24"/>
        </w:rPr>
      </w:pPr>
      <w:r>
        <w:rPr>
          <w:sz w:val="24"/>
        </w:rPr>
        <w:t>（9）在维护服务过程中，投标方应接受招标方的监督与管理。未经招标方的同意，不得对招标方的任何设备和系统进行任何操作或变更。</w:t>
      </w:r>
    </w:p>
    <w:p>
      <w:pPr>
        <w:spacing w:line="360" w:lineRule="auto"/>
        <w:ind w:firstLine="480" w:firstLineChars="200"/>
        <w:rPr>
          <w:sz w:val="24"/>
        </w:rPr>
      </w:pPr>
      <w:r>
        <w:rPr>
          <w:sz w:val="24"/>
        </w:rPr>
        <w:t>（10）在维护服务过程中，应充分估计到可能的风险并制定好相应的应急预案并确保预案的正确性。</w:t>
      </w:r>
    </w:p>
    <w:p>
      <w:pPr>
        <w:spacing w:line="360" w:lineRule="auto"/>
        <w:ind w:firstLine="480" w:firstLineChars="200"/>
        <w:rPr>
          <w:sz w:val="24"/>
        </w:rPr>
      </w:pPr>
      <w:r>
        <w:rPr>
          <w:sz w:val="24"/>
        </w:rPr>
        <w:t>（11）按合同要求为招标方提供必要的其它服务。</w:t>
      </w:r>
    </w:p>
    <w:p>
      <w:pPr>
        <w:spacing w:line="360" w:lineRule="auto"/>
        <w:ind w:firstLine="480" w:firstLineChars="200"/>
        <w:rPr>
          <w:sz w:val="24"/>
        </w:rPr>
      </w:pPr>
      <w:r>
        <w:rPr>
          <w:sz w:val="24"/>
        </w:rPr>
        <w:t>（12）负责按合同约定收取招标方应支付的项目价款。</w:t>
      </w:r>
    </w:p>
    <w:p>
      <w:pPr>
        <w:pStyle w:val="4"/>
        <w:tabs>
          <w:tab w:val="left" w:pos="432"/>
        </w:tabs>
        <w:spacing w:before="0" w:line="360" w:lineRule="auto"/>
        <w:rPr>
          <w:sz w:val="24"/>
          <w:szCs w:val="24"/>
        </w:rPr>
      </w:pPr>
      <w:bookmarkStart w:id="44" w:name="_Toc499194847"/>
      <w:r>
        <w:rPr>
          <w:sz w:val="24"/>
          <w:szCs w:val="24"/>
        </w:rPr>
        <w:t xml:space="preserve"> 招标方的责任</w:t>
      </w:r>
      <w:bookmarkEnd w:id="39"/>
      <w:bookmarkEnd w:id="40"/>
      <w:bookmarkEnd w:id="41"/>
      <w:bookmarkEnd w:id="42"/>
      <w:bookmarkEnd w:id="43"/>
      <w:bookmarkEnd w:id="44"/>
    </w:p>
    <w:p>
      <w:pPr>
        <w:spacing w:line="360" w:lineRule="auto"/>
        <w:ind w:firstLine="480" w:firstLineChars="200"/>
        <w:rPr>
          <w:sz w:val="24"/>
        </w:rPr>
      </w:pPr>
      <w:bookmarkStart w:id="45" w:name="_Toc534354257"/>
      <w:bookmarkStart w:id="46" w:name="_Toc20920471"/>
      <w:bookmarkStart w:id="47" w:name="_Toc385841930"/>
      <w:bookmarkStart w:id="48" w:name="_Toc75636944"/>
      <w:bookmarkStart w:id="49" w:name="_Toc75637284"/>
      <w:bookmarkStart w:id="50" w:name="_Toc237257823"/>
      <w:bookmarkStart w:id="51" w:name="_Toc30840967"/>
      <w:bookmarkStart w:id="52" w:name="_Toc10565"/>
      <w:bookmarkStart w:id="53" w:name="_Toc386126453"/>
      <w:bookmarkStart w:id="54" w:name="_Toc56326052"/>
      <w:bookmarkStart w:id="55" w:name="_Toc56326161"/>
      <w:bookmarkStart w:id="56" w:name="_Toc56325887"/>
      <w:bookmarkStart w:id="57" w:name="_Toc159141275"/>
      <w:r>
        <w:rPr>
          <w:sz w:val="24"/>
        </w:rPr>
        <w:t>（1）提供与本项目有关的技术资料和参数(如功能规范、区域划分、系统最低性能要求、用户数量、系统现场实施要求、工程进度以及系统建设相关资料等)。</w:t>
      </w:r>
    </w:p>
    <w:p>
      <w:pPr>
        <w:spacing w:line="360" w:lineRule="auto"/>
        <w:ind w:firstLine="480" w:firstLineChars="200"/>
        <w:rPr>
          <w:sz w:val="24"/>
        </w:rPr>
      </w:pPr>
      <w:r>
        <w:rPr>
          <w:sz w:val="24"/>
        </w:rPr>
        <w:t>（2）确认投标方提供的系统设计文件和验收文件。审议并确认工程进度、功能规范、设计交底联络会程序、培训计划和验收试验计划。</w:t>
      </w:r>
    </w:p>
    <w:p>
      <w:pPr>
        <w:spacing w:line="360" w:lineRule="auto"/>
        <w:ind w:firstLine="480" w:firstLineChars="200"/>
        <w:rPr>
          <w:sz w:val="24"/>
        </w:rPr>
      </w:pPr>
      <w:r>
        <w:rPr>
          <w:sz w:val="24"/>
        </w:rPr>
        <w:t>（3）参加验收测试并负责现场验收测试。</w:t>
      </w:r>
    </w:p>
    <w:p>
      <w:pPr>
        <w:spacing w:line="360" w:lineRule="auto"/>
        <w:ind w:firstLine="480" w:firstLineChars="200"/>
        <w:rPr>
          <w:sz w:val="24"/>
        </w:rPr>
      </w:pPr>
      <w:r>
        <w:rPr>
          <w:sz w:val="24"/>
        </w:rPr>
        <w:t>（4）参加技术培训和系统建设工作。</w:t>
      </w:r>
    </w:p>
    <w:p>
      <w:pPr>
        <w:spacing w:line="360" w:lineRule="auto"/>
        <w:ind w:firstLine="480" w:firstLineChars="200"/>
        <w:rPr>
          <w:sz w:val="24"/>
        </w:rPr>
      </w:pPr>
      <w:r>
        <w:rPr>
          <w:sz w:val="24"/>
        </w:rPr>
        <w:t>（5）负责为投标方来现场的工作人员提供工作方便。</w:t>
      </w:r>
    </w:p>
    <w:p>
      <w:pPr>
        <w:spacing w:line="360" w:lineRule="auto"/>
        <w:ind w:firstLine="480" w:firstLineChars="200"/>
        <w:rPr>
          <w:sz w:val="24"/>
        </w:rPr>
      </w:pPr>
      <w:r>
        <w:rPr>
          <w:sz w:val="24"/>
        </w:rPr>
        <w:t>（6）为投标方完成系统软、硬件设备的现场安装及调试提供相应条件。</w:t>
      </w:r>
    </w:p>
    <w:p>
      <w:pPr>
        <w:spacing w:line="360" w:lineRule="auto"/>
        <w:ind w:firstLine="480" w:firstLineChars="200"/>
        <w:rPr>
          <w:sz w:val="24"/>
        </w:rPr>
      </w:pPr>
      <w:r>
        <w:rPr>
          <w:sz w:val="24"/>
        </w:rPr>
        <w:t>（7）负责按合同约定时间向投标方支付价款。</w:t>
      </w:r>
    </w:p>
    <w:p>
      <w:pPr>
        <w:pStyle w:val="3"/>
        <w:rPr>
          <w:rFonts w:ascii="Times New Roman" w:hAnsi="Times New Roman"/>
          <w:bCs w:val="0"/>
          <w:sz w:val="24"/>
          <w:szCs w:val="24"/>
        </w:rPr>
      </w:pPr>
      <w:bookmarkStart w:id="58" w:name="_Toc499194848"/>
      <w:r>
        <w:rPr>
          <w:rFonts w:ascii="Times New Roman" w:hAnsi="Times New Roman"/>
          <w:bCs w:val="0"/>
          <w:sz w:val="24"/>
          <w:szCs w:val="24"/>
        </w:rPr>
        <w:t xml:space="preserve"> 招标目的</w:t>
      </w:r>
      <w:bookmarkEnd w:id="45"/>
      <w:bookmarkEnd w:id="46"/>
      <w:bookmarkEnd w:id="47"/>
      <w:bookmarkEnd w:id="48"/>
      <w:bookmarkEnd w:id="49"/>
      <w:bookmarkEnd w:id="50"/>
      <w:bookmarkEnd w:id="51"/>
      <w:bookmarkEnd w:id="52"/>
      <w:bookmarkEnd w:id="53"/>
      <w:bookmarkEnd w:id="54"/>
      <w:bookmarkEnd w:id="55"/>
      <w:bookmarkEnd w:id="56"/>
      <w:bookmarkEnd w:id="57"/>
      <w:bookmarkEnd w:id="58"/>
    </w:p>
    <w:p>
      <w:pPr>
        <w:spacing w:line="360" w:lineRule="auto"/>
        <w:ind w:firstLine="480" w:firstLineChars="200"/>
        <w:rPr>
          <w:sz w:val="24"/>
          <w:szCs w:val="24"/>
          <w:u w:val="single"/>
        </w:rPr>
      </w:pPr>
      <w:bookmarkStart w:id="59" w:name="_Toc56326055"/>
      <w:bookmarkStart w:id="60" w:name="_Toc56326164"/>
      <w:bookmarkStart w:id="61" w:name="_Toc56325890"/>
      <w:bookmarkStart w:id="62" w:name="_Toc75637287"/>
      <w:bookmarkStart w:id="63" w:name="_Toc75636947"/>
      <w:bookmarkStart w:id="64" w:name="_Toc30840970"/>
      <w:bookmarkStart w:id="65" w:name="_Toc237257826"/>
      <w:bookmarkStart w:id="66" w:name="_Toc159141278"/>
      <w:bookmarkStart w:id="67" w:name="_Toc22014"/>
      <w:bookmarkStart w:id="68" w:name="_Toc386126455"/>
      <w:bookmarkStart w:id="69" w:name="_Toc385841932"/>
      <w:r>
        <w:rPr>
          <w:sz w:val="24"/>
          <w:szCs w:val="24"/>
        </w:rPr>
        <w:t>通过本次招标，使得招标方能够购买到满足要求、价格合理的产品级，获得更优质的服务，为企业创造更多的利益。</w:t>
      </w:r>
    </w:p>
    <w:p>
      <w:pPr>
        <w:pStyle w:val="2"/>
        <w:ind w:left="420" w:hanging="420"/>
        <w:jc w:val="both"/>
        <w:rPr>
          <w:rFonts w:ascii="Times New Roman" w:hAnsi="Times New Roman" w:eastAsia="宋体"/>
          <w:bCs w:val="0"/>
          <w:kern w:val="2"/>
          <w:sz w:val="30"/>
          <w:szCs w:val="30"/>
        </w:rPr>
      </w:pPr>
      <w:bookmarkStart w:id="70" w:name="_Toc499194849"/>
      <w:r>
        <w:rPr>
          <w:rFonts w:ascii="Times New Roman" w:hAnsi="Times New Roman" w:eastAsia="宋体"/>
          <w:bCs w:val="0"/>
          <w:kern w:val="2"/>
          <w:sz w:val="30"/>
          <w:szCs w:val="30"/>
        </w:rPr>
        <w:t xml:space="preserve"> 对</w:t>
      </w:r>
      <w:bookmarkEnd w:id="59"/>
      <w:bookmarkEnd w:id="60"/>
      <w:bookmarkEnd w:id="61"/>
      <w:bookmarkEnd w:id="62"/>
      <w:bookmarkEnd w:id="63"/>
      <w:bookmarkEnd w:id="64"/>
      <w:r>
        <w:rPr>
          <w:rFonts w:ascii="Times New Roman" w:hAnsi="Times New Roman" w:eastAsia="宋体"/>
          <w:bCs w:val="0"/>
          <w:kern w:val="2"/>
          <w:sz w:val="30"/>
          <w:szCs w:val="30"/>
        </w:rPr>
        <w:t>投标方的技术要求</w:t>
      </w:r>
      <w:bookmarkEnd w:id="65"/>
      <w:bookmarkEnd w:id="66"/>
      <w:bookmarkEnd w:id="67"/>
      <w:bookmarkEnd w:id="68"/>
      <w:bookmarkEnd w:id="69"/>
      <w:bookmarkEnd w:id="70"/>
    </w:p>
    <w:p>
      <w:pPr>
        <w:pStyle w:val="20"/>
      </w:pPr>
      <w:bookmarkStart w:id="71" w:name="_Toc499194851"/>
      <w:bookmarkStart w:id="72" w:name="_Toc5363"/>
      <w:bookmarkStart w:id="73" w:name="_Toc386126460"/>
      <w:bookmarkStart w:id="74" w:name="_Toc237257834"/>
      <w:bookmarkStart w:id="75" w:name="_Toc385841937"/>
      <w:r>
        <w:rPr>
          <w:rFonts w:hint="eastAsia"/>
        </w:rPr>
        <w:t>产品技术标准</w:t>
      </w:r>
    </w:p>
    <w:p>
      <w:pPr>
        <w:pStyle w:val="3"/>
      </w:pPr>
      <w:r>
        <w:rPr>
          <w:rFonts w:hint="eastAsia"/>
        </w:rPr>
        <w:t>资信</w:t>
      </w:r>
      <w:r>
        <w:t>技术</w:t>
      </w:r>
      <w:r>
        <w:rPr>
          <w:rFonts w:hint="eastAsia"/>
        </w:rPr>
        <w:t>标准</w:t>
      </w:r>
    </w:p>
    <w:tbl>
      <w:tblPr>
        <w:tblStyle w:val="26"/>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58"/>
        <w:gridCol w:w="6160"/>
        <w:gridCol w:w="1100"/>
        <w:gridCol w:w="9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58" w:type="dxa"/>
            <w:vAlign w:val="center"/>
          </w:tcPr>
          <w:p>
            <w:pPr>
              <w:spacing w:after="0" w:line="240" w:lineRule="auto"/>
              <w:ind w:left="220"/>
              <w:jc w:val="center"/>
              <w:rPr>
                <w:b/>
                <w:lang w:val="zh-CN"/>
              </w:rPr>
            </w:pPr>
            <w:r>
              <w:rPr>
                <w:rFonts w:hint="eastAsia"/>
                <w:b/>
                <w:lang w:val="zh-CN"/>
              </w:rPr>
              <w:t>项目</w:t>
            </w:r>
          </w:p>
        </w:tc>
        <w:tc>
          <w:tcPr>
            <w:tcW w:w="6160" w:type="dxa"/>
            <w:vAlign w:val="center"/>
          </w:tcPr>
          <w:p>
            <w:pPr>
              <w:spacing w:after="0" w:line="240" w:lineRule="auto"/>
              <w:ind w:left="220"/>
              <w:jc w:val="center"/>
              <w:rPr>
                <w:b/>
              </w:rPr>
            </w:pPr>
            <w:r>
              <w:rPr>
                <w:rFonts w:hint="eastAsia"/>
                <w:b/>
              </w:rPr>
              <w:t>内容</w:t>
            </w:r>
          </w:p>
        </w:tc>
        <w:tc>
          <w:tcPr>
            <w:tcW w:w="1100" w:type="dxa"/>
            <w:vAlign w:val="center"/>
          </w:tcPr>
          <w:p>
            <w:pPr>
              <w:spacing w:after="0" w:line="240" w:lineRule="auto"/>
              <w:ind w:left="220"/>
              <w:jc w:val="center"/>
              <w:rPr>
                <w:b/>
                <w:lang w:val="zh-CN"/>
              </w:rPr>
            </w:pPr>
          </w:p>
        </w:tc>
        <w:tc>
          <w:tcPr>
            <w:tcW w:w="944" w:type="dxa"/>
            <w:vAlign w:val="center"/>
          </w:tcPr>
          <w:p>
            <w:pPr>
              <w:spacing w:after="0" w:line="240" w:lineRule="auto"/>
              <w:ind w:left="220"/>
              <w:jc w:val="center"/>
              <w:rPr>
                <w:b/>
                <w:lang w:val="zh-CN"/>
              </w:rPr>
            </w:pPr>
            <w:r>
              <w:rPr>
                <w:rFonts w:hint="eastAsia"/>
                <w:b/>
                <w:lang w:val="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58" w:type="dxa"/>
            <w:vAlign w:val="center"/>
          </w:tcPr>
          <w:p>
            <w:pPr>
              <w:spacing w:after="0" w:line="240" w:lineRule="auto"/>
              <w:ind w:left="220"/>
              <w:jc w:val="center"/>
              <w:rPr>
                <w:lang w:val="zh-CN"/>
              </w:rPr>
            </w:pPr>
            <w:r>
              <w:rPr>
                <w:rFonts w:hint="eastAsia"/>
                <w:lang w:val="zh-CN"/>
              </w:rPr>
              <w:t>资质要求</w:t>
            </w:r>
          </w:p>
        </w:tc>
        <w:tc>
          <w:tcPr>
            <w:tcW w:w="6160" w:type="dxa"/>
            <w:vAlign w:val="center"/>
          </w:tcPr>
          <w:p>
            <w:pPr>
              <w:pStyle w:val="43"/>
              <w:numPr>
                <w:ilvl w:val="0"/>
                <w:numId w:val="2"/>
              </w:numPr>
              <w:spacing w:after="0" w:line="240" w:lineRule="auto"/>
              <w:ind w:left="580"/>
              <w:jc w:val="both"/>
            </w:pPr>
            <w:r>
              <w:rPr>
                <w:rFonts w:hint="eastAsia"/>
              </w:rPr>
              <w:t>制造商具有安全技术防范行业资信等级证书（三级）。</w:t>
            </w:r>
          </w:p>
          <w:p>
            <w:pPr>
              <w:pStyle w:val="43"/>
              <w:numPr>
                <w:ilvl w:val="0"/>
                <w:numId w:val="2"/>
              </w:numPr>
              <w:spacing w:after="0" w:line="240" w:lineRule="auto"/>
              <w:ind w:left="580"/>
              <w:jc w:val="both"/>
            </w:pPr>
            <w:r>
              <w:rPr>
                <w:rFonts w:hint="eastAsia"/>
              </w:rPr>
              <w:t>制造商有安全生产标准化三级企业证书。</w:t>
            </w:r>
          </w:p>
          <w:p>
            <w:pPr>
              <w:pStyle w:val="43"/>
              <w:numPr>
                <w:ilvl w:val="0"/>
                <w:numId w:val="2"/>
              </w:numPr>
              <w:spacing w:after="0" w:line="240" w:lineRule="auto"/>
              <w:ind w:left="580"/>
              <w:jc w:val="both"/>
              <w:rPr>
                <w:color w:val="auto"/>
              </w:rPr>
            </w:pPr>
            <w:r>
              <w:rPr>
                <w:rFonts w:hint="eastAsia" w:ascii="宋体" w:hAnsi="宋体" w:eastAsia="宋体" w:cs="宋体"/>
                <w:color w:val="auto"/>
                <w:kern w:val="0"/>
                <w:sz w:val="24"/>
                <w:szCs w:val="24"/>
                <w:highlight w:val="none"/>
                <w:lang w:val="zh-CN" w:eastAsia="zh-CN"/>
              </w:rPr>
              <w:t>制造商</w:t>
            </w:r>
            <w:r>
              <w:rPr>
                <w:rFonts w:hint="eastAsia" w:ascii="宋体" w:hAnsi="宋体" w:eastAsia="宋体" w:cs="宋体"/>
                <w:color w:val="auto"/>
                <w:kern w:val="0"/>
                <w:sz w:val="24"/>
                <w:szCs w:val="24"/>
                <w:highlight w:val="none"/>
                <w:lang w:val="zh-CN"/>
              </w:rPr>
              <w:t>具有检测依据为《GA/T 1343-2016》标准且阻挡能力符合B2级的公安部型式检验报告。</w:t>
            </w:r>
          </w:p>
          <w:p>
            <w:pPr>
              <w:pStyle w:val="43"/>
              <w:numPr>
                <w:ilvl w:val="0"/>
                <w:numId w:val="2"/>
              </w:numPr>
              <w:spacing w:after="0" w:line="240" w:lineRule="auto"/>
              <w:ind w:left="580"/>
              <w:jc w:val="both"/>
              <w:rPr>
                <w:color w:val="auto"/>
              </w:rPr>
            </w:pPr>
            <w:r>
              <w:rPr>
                <w:rFonts w:hint="eastAsia"/>
                <w:color w:val="auto"/>
                <w:lang w:eastAsia="zh-CN"/>
              </w:rPr>
              <w:t>安全技术防范系统集成及服务专项资质贰级证书</w:t>
            </w:r>
          </w:p>
          <w:p>
            <w:pPr>
              <w:spacing w:after="0" w:line="240" w:lineRule="auto"/>
              <w:ind w:left="220"/>
            </w:pPr>
            <w:r>
              <w:rPr>
                <w:rFonts w:hint="eastAsia"/>
                <w:b/>
              </w:rPr>
              <w:t>投标文件中提供以上证书复印件，</w:t>
            </w:r>
            <w:r>
              <w:rPr>
                <w:rFonts w:hint="eastAsia"/>
                <w:b/>
                <w:lang w:eastAsia="zh-CN"/>
              </w:rPr>
              <w:t>无法提供</w:t>
            </w:r>
            <w:r>
              <w:rPr>
                <w:rFonts w:hint="eastAsia"/>
                <w:b/>
              </w:rPr>
              <w:t>作废标处理。</w:t>
            </w:r>
          </w:p>
        </w:tc>
        <w:tc>
          <w:tcPr>
            <w:tcW w:w="1100" w:type="dxa"/>
            <w:vAlign w:val="center"/>
          </w:tcPr>
          <w:p>
            <w:pPr>
              <w:spacing w:after="0" w:line="240" w:lineRule="auto"/>
              <w:ind w:left="220"/>
              <w:jc w:val="center"/>
              <w:rPr>
                <w:lang w:val="zh-CN"/>
              </w:rPr>
            </w:pPr>
          </w:p>
        </w:tc>
        <w:tc>
          <w:tcPr>
            <w:tcW w:w="944" w:type="dxa"/>
            <w:vAlign w:val="center"/>
          </w:tcPr>
          <w:p>
            <w:pPr>
              <w:spacing w:after="0" w:line="240" w:lineRule="auto"/>
              <w:ind w:left="220"/>
              <w:jc w:val="center"/>
              <w:rPr>
                <w:lang w:val="zh-CN"/>
              </w:rPr>
            </w:pPr>
          </w:p>
        </w:tc>
      </w:tr>
    </w:tbl>
    <w:p>
      <w:r>
        <w:br w:type="page"/>
      </w:r>
    </w:p>
    <w:p>
      <w:pPr>
        <w:pStyle w:val="2"/>
        <w:numPr>
          <w:ilvl w:val="0"/>
          <w:numId w:val="0"/>
        </w:numPr>
        <w:ind w:left="425"/>
        <w:rPr>
          <w:lang w:val="zh-CN"/>
        </w:rPr>
      </w:pPr>
      <w:r>
        <w:rPr>
          <w:rFonts w:hint="eastAsia"/>
          <w:lang w:val="zh-CN"/>
        </w:rPr>
        <w:t>产品参数技术标准</w:t>
      </w:r>
      <w:bookmarkStart w:id="160" w:name="_GoBack"/>
      <w:bookmarkEnd w:id="160"/>
    </w:p>
    <w:p>
      <w:pPr>
        <w:pStyle w:val="3"/>
        <w:ind w:left="440" w:hanging="440"/>
        <w:rPr>
          <w:lang w:val="zh-CN"/>
        </w:rPr>
      </w:pPr>
      <w:r>
        <w:rPr>
          <w:rFonts w:hint="eastAsia"/>
          <w:lang w:val="zh-CN"/>
        </w:rPr>
        <w:t>升降柱部分</w:t>
      </w:r>
    </w:p>
    <w:p>
      <w:pPr>
        <w:pStyle w:val="43"/>
        <w:numPr>
          <w:ilvl w:val="0"/>
          <w:numId w:val="3"/>
        </w:numPr>
        <w:rPr>
          <w:color w:val="auto"/>
          <w:lang w:val="zh-CN"/>
        </w:rPr>
      </w:pPr>
      <w:r>
        <w:rPr>
          <w:rFonts w:hint="eastAsia"/>
          <w:color w:val="auto"/>
          <w:lang w:val="zh-CN"/>
        </w:rPr>
        <w:sym w:font="Wingdings 2" w:char="F0EA"/>
      </w:r>
      <w:r>
        <w:rPr>
          <w:rFonts w:hint="eastAsia"/>
          <w:color w:val="auto"/>
          <w:lang w:val="zh-CN" w:eastAsia="zh-CN"/>
        </w:rPr>
        <w:t>驱动方式：气动柱式（需要检验报告中体现，否则视为废标）</w:t>
      </w:r>
    </w:p>
    <w:p>
      <w:pPr>
        <w:pStyle w:val="43"/>
        <w:numPr>
          <w:ilvl w:val="0"/>
          <w:numId w:val="3"/>
        </w:numPr>
        <w:rPr>
          <w:color w:val="auto"/>
          <w:lang w:val="zh-CN"/>
        </w:rPr>
      </w:pPr>
      <w:r>
        <w:rPr>
          <w:rFonts w:hint="eastAsia"/>
          <w:color w:val="auto"/>
          <w:lang w:val="zh-CN"/>
        </w:rPr>
        <w:t>运动柱体材质及表面处理：304不锈钢，表面拉丝处理。</w:t>
      </w:r>
    </w:p>
    <w:p>
      <w:pPr>
        <w:pStyle w:val="43"/>
        <w:numPr>
          <w:ilvl w:val="0"/>
          <w:numId w:val="3"/>
        </w:numPr>
        <w:rPr>
          <w:color w:val="auto"/>
          <w:lang w:val="zh-CN"/>
        </w:rPr>
      </w:pPr>
      <w:r>
        <w:rPr>
          <w:rFonts w:hint="eastAsia"/>
          <w:color w:val="auto"/>
          <w:lang w:val="zh-CN"/>
        </w:rPr>
        <w:sym w:font="Wingdings 2" w:char="F0EA"/>
      </w:r>
      <w:r>
        <w:rPr>
          <w:rFonts w:hint="eastAsia"/>
          <w:color w:val="auto"/>
          <w:lang w:val="zh-CN"/>
        </w:rPr>
        <w:t>运动柱体高度：≥600 mm</w:t>
      </w:r>
    </w:p>
    <w:p>
      <w:pPr>
        <w:pStyle w:val="43"/>
        <w:numPr>
          <w:ilvl w:val="0"/>
          <w:numId w:val="3"/>
        </w:numPr>
        <w:rPr>
          <w:color w:val="auto"/>
          <w:lang w:val="zh-CN"/>
        </w:rPr>
      </w:pPr>
      <w:r>
        <w:rPr>
          <w:rFonts w:hint="eastAsia"/>
          <w:color w:val="auto"/>
          <w:lang w:val="zh-CN"/>
        </w:rPr>
        <w:sym w:font="Wingdings 2" w:char="F0EA"/>
      </w:r>
      <w:r>
        <w:rPr>
          <w:rFonts w:hint="eastAsia"/>
          <w:color w:val="auto"/>
          <w:lang w:val="zh-CN"/>
        </w:rPr>
        <w:t>运动柱体直径：≥219mm</w:t>
      </w:r>
    </w:p>
    <w:p>
      <w:pPr>
        <w:pStyle w:val="43"/>
        <w:numPr>
          <w:ilvl w:val="0"/>
          <w:numId w:val="3"/>
        </w:numPr>
        <w:rPr>
          <w:color w:val="auto"/>
          <w:lang w:val="zh-CN"/>
        </w:rPr>
      </w:pPr>
      <w:r>
        <w:rPr>
          <w:rFonts w:hint="eastAsia"/>
          <w:color w:val="auto"/>
          <w:lang w:val="zh-CN"/>
        </w:rPr>
        <w:sym w:font="Wingdings 2" w:char="F0EA"/>
      </w:r>
      <w:r>
        <w:rPr>
          <w:rFonts w:hint="eastAsia"/>
          <w:color w:val="auto"/>
          <w:lang w:val="zh-CN"/>
        </w:rPr>
        <w:t>地埋柱体高度：≤850mm</w:t>
      </w:r>
    </w:p>
    <w:p>
      <w:pPr>
        <w:pStyle w:val="43"/>
        <w:numPr>
          <w:ilvl w:val="0"/>
          <w:numId w:val="3"/>
        </w:numPr>
        <w:rPr>
          <w:color w:val="auto"/>
          <w:lang w:val="zh-CN"/>
        </w:rPr>
      </w:pPr>
      <w:r>
        <w:rPr>
          <w:rFonts w:hint="eastAsia"/>
          <w:color w:val="auto"/>
          <w:lang w:val="zh-CN"/>
        </w:rPr>
        <w:sym w:font="Wingdings 2" w:char="F0EA"/>
      </w:r>
      <w:r>
        <w:rPr>
          <w:rFonts w:hint="eastAsia"/>
          <w:color w:val="auto"/>
          <w:lang w:val="zh-CN" w:eastAsia="zh-CN"/>
        </w:rPr>
        <w:t>地面法兰尺寸：长</w:t>
      </w:r>
      <w:r>
        <w:rPr>
          <w:rFonts w:hint="eastAsia"/>
          <w:color w:val="auto"/>
          <w:lang w:val="zh-CN"/>
        </w:rPr>
        <w:t>≤</w:t>
      </w:r>
      <w:r>
        <w:rPr>
          <w:rFonts w:hint="eastAsia"/>
          <w:color w:val="auto"/>
          <w:lang w:val="en-US" w:eastAsia="zh-CN"/>
        </w:rPr>
        <w:t>450mm，宽</w:t>
      </w:r>
      <w:r>
        <w:rPr>
          <w:rFonts w:hint="eastAsia"/>
          <w:color w:val="auto"/>
          <w:lang w:val="zh-CN"/>
        </w:rPr>
        <w:t>≤</w:t>
      </w:r>
      <w:r>
        <w:rPr>
          <w:rFonts w:hint="eastAsia"/>
          <w:color w:val="auto"/>
          <w:lang w:val="en-US" w:eastAsia="zh-CN"/>
        </w:rPr>
        <w:t>370mm，厚</w:t>
      </w:r>
      <w:r>
        <w:rPr>
          <w:rFonts w:hint="eastAsia"/>
          <w:color w:val="auto"/>
          <w:lang w:val="zh-CN"/>
        </w:rPr>
        <w:t>≥</w:t>
      </w:r>
      <w:r>
        <w:rPr>
          <w:rFonts w:hint="eastAsia"/>
          <w:color w:val="auto"/>
          <w:lang w:val="en-US" w:eastAsia="zh-CN"/>
        </w:rPr>
        <w:t>25mm</w:t>
      </w:r>
    </w:p>
    <w:p>
      <w:pPr>
        <w:pStyle w:val="43"/>
        <w:numPr>
          <w:ilvl w:val="0"/>
          <w:numId w:val="3"/>
        </w:numPr>
        <w:rPr>
          <w:rFonts w:hint="eastAsia"/>
          <w:color w:val="auto"/>
          <w:lang w:val="zh-CN"/>
        </w:rPr>
      </w:pPr>
      <w:r>
        <w:rPr>
          <w:rFonts w:hint="eastAsia"/>
          <w:color w:val="auto"/>
          <w:lang w:val="zh-CN"/>
        </w:rPr>
        <w:sym w:font="Wingdings 2" w:char="F0EA"/>
      </w:r>
      <w:r>
        <w:rPr>
          <w:rFonts w:hint="eastAsia"/>
          <w:color w:val="auto"/>
          <w:lang w:val="en-US" w:eastAsia="zh-CN"/>
        </w:rPr>
        <w:t>阻挡间距：阻挡柱体间距应小于或等于800mm</w:t>
      </w:r>
      <w:r>
        <w:rPr>
          <w:rFonts w:hint="eastAsia"/>
          <w:color w:val="auto"/>
          <w:lang w:val="zh-CN" w:eastAsia="zh-CN"/>
        </w:rPr>
        <w:t>（需要检验报告中体现，否则视为废标）</w:t>
      </w:r>
    </w:p>
    <w:p>
      <w:pPr>
        <w:pStyle w:val="43"/>
        <w:numPr>
          <w:ilvl w:val="0"/>
          <w:numId w:val="3"/>
        </w:numPr>
        <w:rPr>
          <w:color w:val="auto"/>
          <w:lang w:val="zh-CN"/>
        </w:rPr>
      </w:pPr>
      <w:r>
        <w:rPr>
          <w:rFonts w:hint="eastAsia"/>
          <w:color w:val="auto"/>
          <w:lang w:val="zh-CN"/>
        </w:rPr>
        <w:sym w:font="Wingdings 2" w:char="F0EA"/>
      </w:r>
      <w:r>
        <w:rPr>
          <w:rFonts w:hint="eastAsia"/>
          <w:color w:val="auto"/>
          <w:lang w:val="zh-CN"/>
        </w:rPr>
        <w:t>隔离护圈：运动柱体与地埋柱体之间应设置非金属材质的隔离护圈，以避免地面面板刮花运动柱体。</w:t>
      </w:r>
    </w:p>
    <w:p>
      <w:pPr>
        <w:pStyle w:val="43"/>
        <w:numPr>
          <w:ilvl w:val="0"/>
          <w:numId w:val="3"/>
        </w:numPr>
        <w:rPr>
          <w:color w:val="auto"/>
          <w:lang w:val="zh-CN"/>
        </w:rPr>
      </w:pPr>
      <w:r>
        <w:rPr>
          <w:rFonts w:hint="eastAsia"/>
          <w:color w:val="auto"/>
          <w:lang w:val="zh-CN"/>
        </w:rPr>
        <w:t>工作电压：为确保安全，升降柱与控制系统之间所连接线缆电压不得大于36V且为直流电。</w:t>
      </w:r>
    </w:p>
    <w:p>
      <w:pPr>
        <w:pStyle w:val="43"/>
        <w:numPr>
          <w:ilvl w:val="0"/>
          <w:numId w:val="3"/>
        </w:numPr>
        <w:rPr>
          <w:color w:val="auto"/>
          <w:lang w:val="zh-CN"/>
        </w:rPr>
      </w:pPr>
      <w:r>
        <w:rPr>
          <w:rFonts w:hint="eastAsia"/>
          <w:color w:val="auto"/>
          <w:lang w:val="zh-CN"/>
        </w:rPr>
        <w:t>工作湿度：90%，无凝露</w:t>
      </w:r>
    </w:p>
    <w:p>
      <w:pPr>
        <w:pStyle w:val="43"/>
        <w:numPr>
          <w:ilvl w:val="0"/>
          <w:numId w:val="3"/>
        </w:numPr>
        <w:rPr>
          <w:rFonts w:hint="eastAsia"/>
          <w:color w:val="auto"/>
          <w:lang w:val="zh-CN"/>
        </w:rPr>
      </w:pPr>
      <w:r>
        <w:rPr>
          <w:rFonts w:hint="eastAsia"/>
          <w:color w:val="auto"/>
          <w:lang w:val="zh-CN"/>
        </w:rPr>
        <w:sym w:font="Wingdings 2" w:char="F0EA"/>
      </w:r>
      <w:r>
        <w:rPr>
          <w:rFonts w:hint="eastAsia"/>
          <w:color w:val="auto"/>
          <w:lang w:val="zh-CN"/>
        </w:rPr>
        <w:t>工作温度：</w:t>
      </w:r>
      <w:r>
        <w:rPr>
          <w:rFonts w:hint="eastAsia"/>
          <w:color w:val="auto"/>
          <w:lang w:val="zh-CN" w:eastAsia="zh-CN"/>
        </w:rPr>
        <w:t>（需要检验报告中体现，否则视为废标）</w:t>
      </w:r>
    </w:p>
    <w:p>
      <w:pPr>
        <w:pStyle w:val="43"/>
        <w:numPr>
          <w:ilvl w:val="0"/>
          <w:numId w:val="0"/>
        </w:numPr>
        <w:ind w:leftChars="0"/>
        <w:rPr>
          <w:color w:val="auto"/>
          <w:lang w:val="zh-CN"/>
        </w:rPr>
      </w:pPr>
      <w:r>
        <w:rPr>
          <w:rFonts w:hint="eastAsia"/>
          <w:color w:val="auto"/>
          <w:lang w:val="en-US" w:eastAsia="zh-CN"/>
        </w:rPr>
        <w:t>A低温试验： -30℃±2℃  24h（取出后加电试验，应符合本标准5.4.1的要求）；</w:t>
      </w:r>
    </w:p>
    <w:p>
      <w:pPr>
        <w:pStyle w:val="43"/>
        <w:numPr>
          <w:ilvl w:val="0"/>
          <w:numId w:val="0"/>
        </w:numPr>
        <w:ind w:leftChars="0"/>
        <w:rPr>
          <w:rFonts w:hint="default"/>
          <w:color w:val="auto"/>
          <w:lang w:val="en-US"/>
        </w:rPr>
      </w:pPr>
      <w:r>
        <w:rPr>
          <w:rFonts w:hint="eastAsia"/>
          <w:color w:val="auto"/>
          <w:lang w:val="en-US" w:eastAsia="zh-CN"/>
        </w:rPr>
        <w:t>B高温试验： +55℃±2℃ 24h（取出后加电试验，应符合本标准5.4.1的要求）；</w:t>
      </w:r>
    </w:p>
    <w:p>
      <w:pPr>
        <w:pStyle w:val="43"/>
        <w:numPr>
          <w:ilvl w:val="0"/>
          <w:numId w:val="3"/>
        </w:numPr>
        <w:rPr>
          <w:color w:val="auto"/>
          <w:lang w:val="zh-CN"/>
        </w:rPr>
      </w:pPr>
      <w:r>
        <w:rPr>
          <w:rFonts w:hint="eastAsia"/>
          <w:color w:val="auto"/>
          <w:lang w:val="zh-CN"/>
        </w:rPr>
        <w:sym w:font="Wingdings 2" w:char="F0EA"/>
      </w:r>
      <w:r>
        <w:rPr>
          <w:rFonts w:hint="eastAsia"/>
          <w:color w:val="auto"/>
          <w:lang w:val="zh-CN"/>
        </w:rPr>
        <w:t>浸水性能：无漏电现象，工作正常。</w:t>
      </w:r>
    </w:p>
    <w:p>
      <w:pPr>
        <w:pStyle w:val="43"/>
        <w:numPr>
          <w:ilvl w:val="0"/>
          <w:numId w:val="3"/>
        </w:numPr>
        <w:rPr>
          <w:color w:val="auto"/>
          <w:lang w:val="zh-CN"/>
        </w:rPr>
      </w:pPr>
      <w:r>
        <w:rPr>
          <w:rFonts w:hint="eastAsia"/>
          <w:color w:val="auto"/>
          <w:lang w:val="zh-CN"/>
        </w:rPr>
        <w:sym w:font="Wingdings 2" w:char="F0EA"/>
      </w:r>
      <w:r>
        <w:rPr>
          <w:rFonts w:hint="eastAsia"/>
          <w:color w:val="auto"/>
          <w:lang w:val="zh-CN"/>
        </w:rPr>
        <w:t>电控系统安全性</w:t>
      </w:r>
      <w:r>
        <w:rPr>
          <w:rFonts w:hint="eastAsia"/>
          <w:color w:val="auto"/>
          <w:lang w:val="zh-CN" w:eastAsia="zh-CN"/>
        </w:rPr>
        <w:t>：（需要检验报告中体现，否则视为废标）</w:t>
      </w:r>
    </w:p>
    <w:p>
      <w:pPr>
        <w:pStyle w:val="43"/>
        <w:numPr>
          <w:ilvl w:val="0"/>
          <w:numId w:val="0"/>
        </w:numPr>
        <w:ind w:leftChars="0"/>
        <w:rPr>
          <w:rFonts w:hint="eastAsia"/>
          <w:color w:val="auto"/>
          <w:lang w:val="en-US" w:eastAsia="zh-CN"/>
        </w:rPr>
      </w:pPr>
      <w:r>
        <w:rPr>
          <w:rFonts w:hint="eastAsia"/>
          <w:color w:val="auto"/>
          <w:lang w:val="en-US" w:eastAsia="zh-CN"/>
        </w:rPr>
        <w:t xml:space="preserve">A </w:t>
      </w:r>
      <w:r>
        <w:rPr>
          <w:rFonts w:hint="eastAsia"/>
          <w:color w:val="auto"/>
          <w:lang w:val="zh-CN" w:eastAsia="zh-CN"/>
        </w:rPr>
        <w:t>抗电强度应符合</w:t>
      </w:r>
      <w:r>
        <w:rPr>
          <w:rFonts w:hint="eastAsia"/>
          <w:color w:val="auto"/>
          <w:lang w:val="en-US" w:eastAsia="zh-CN"/>
        </w:rPr>
        <w:t>GB16796-2009中5.4.3的规定；</w:t>
      </w:r>
    </w:p>
    <w:p>
      <w:pPr>
        <w:pStyle w:val="43"/>
        <w:numPr>
          <w:ilvl w:val="0"/>
          <w:numId w:val="0"/>
        </w:numPr>
        <w:ind w:leftChars="0"/>
        <w:rPr>
          <w:rFonts w:hint="default"/>
          <w:color w:val="auto"/>
          <w:lang w:val="en-US" w:eastAsia="zh-CN"/>
        </w:rPr>
      </w:pPr>
      <w:r>
        <w:rPr>
          <w:rFonts w:hint="eastAsia"/>
          <w:color w:val="auto"/>
          <w:lang w:val="en-US" w:eastAsia="zh-CN"/>
        </w:rPr>
        <w:t>b 绝缘电阻</w:t>
      </w:r>
      <w:r>
        <w:rPr>
          <w:rFonts w:hint="eastAsia"/>
          <w:color w:val="auto"/>
          <w:lang w:val="zh-CN" w:eastAsia="zh-CN"/>
        </w:rPr>
        <w:t>应符合</w:t>
      </w:r>
      <w:r>
        <w:rPr>
          <w:rFonts w:hint="eastAsia"/>
          <w:color w:val="auto"/>
          <w:lang w:val="en-US" w:eastAsia="zh-CN"/>
        </w:rPr>
        <w:t>GB16796-2009中5.4.4的规定；</w:t>
      </w:r>
    </w:p>
    <w:p>
      <w:pPr>
        <w:pStyle w:val="43"/>
        <w:numPr>
          <w:ilvl w:val="0"/>
          <w:numId w:val="0"/>
        </w:numPr>
        <w:ind w:leftChars="0"/>
        <w:rPr>
          <w:rFonts w:hint="default"/>
          <w:color w:val="auto"/>
          <w:lang w:val="en-US"/>
        </w:rPr>
      </w:pPr>
      <w:r>
        <w:rPr>
          <w:rFonts w:hint="eastAsia"/>
          <w:color w:val="auto"/>
          <w:lang w:val="en-US" w:eastAsia="zh-CN"/>
        </w:rPr>
        <w:t>C 泄露电流</w:t>
      </w:r>
      <w:r>
        <w:rPr>
          <w:rFonts w:hint="eastAsia"/>
          <w:color w:val="auto"/>
          <w:lang w:val="zh-CN" w:eastAsia="zh-CN"/>
        </w:rPr>
        <w:t>应符合</w:t>
      </w:r>
      <w:r>
        <w:rPr>
          <w:rFonts w:hint="eastAsia"/>
          <w:color w:val="auto"/>
          <w:lang w:val="en-US" w:eastAsia="zh-CN"/>
        </w:rPr>
        <w:t xml:space="preserve">GB16796-2009中5.4.6的规定；   </w:t>
      </w:r>
    </w:p>
    <w:p>
      <w:pPr>
        <w:pStyle w:val="43"/>
        <w:numPr>
          <w:ilvl w:val="0"/>
          <w:numId w:val="3"/>
        </w:numPr>
        <w:rPr>
          <w:color w:val="auto"/>
          <w:lang w:val="zh-CN"/>
        </w:rPr>
      </w:pPr>
      <w:r>
        <w:rPr>
          <w:rFonts w:hint="eastAsia"/>
          <w:color w:val="auto"/>
          <w:lang w:val="zh-CN"/>
        </w:rPr>
        <w:sym w:font="Wingdings 2" w:char="F0EA"/>
      </w:r>
      <w:r>
        <w:rPr>
          <w:rFonts w:hint="eastAsia"/>
          <w:color w:val="auto"/>
          <w:lang w:val="zh-CN"/>
        </w:rPr>
        <w:t>电磁兼容性：</w:t>
      </w:r>
      <w:r>
        <w:rPr>
          <w:rFonts w:hint="eastAsia"/>
          <w:color w:val="auto"/>
          <w:lang w:val="zh-CN" w:eastAsia="zh-CN"/>
        </w:rPr>
        <w:t>（需要检验报告中体现，否则视为废标）</w:t>
      </w:r>
    </w:p>
    <w:p>
      <w:pPr>
        <w:pStyle w:val="43"/>
        <w:numPr>
          <w:ilvl w:val="0"/>
          <w:numId w:val="0"/>
        </w:numPr>
        <w:ind w:leftChars="0"/>
        <w:rPr>
          <w:rFonts w:hint="eastAsia"/>
          <w:color w:val="auto"/>
          <w:lang w:val="en-US" w:eastAsia="zh-CN"/>
        </w:rPr>
      </w:pPr>
      <w:r>
        <w:rPr>
          <w:rFonts w:hint="eastAsia"/>
          <w:color w:val="auto"/>
          <w:lang w:val="en-US" w:eastAsia="zh-CN"/>
        </w:rPr>
        <w:t>A静电放电抗扰度应符合GB/T30148-2013中9.3.4的规定；</w:t>
      </w:r>
    </w:p>
    <w:p>
      <w:pPr>
        <w:pStyle w:val="43"/>
        <w:numPr>
          <w:ilvl w:val="0"/>
          <w:numId w:val="0"/>
        </w:numPr>
        <w:ind w:leftChars="0"/>
        <w:rPr>
          <w:rFonts w:hint="eastAsia"/>
          <w:color w:val="auto"/>
          <w:lang w:val="en-US" w:eastAsia="zh-CN"/>
        </w:rPr>
      </w:pPr>
      <w:r>
        <w:rPr>
          <w:rFonts w:hint="eastAsia"/>
          <w:color w:val="auto"/>
          <w:lang w:val="en-US" w:eastAsia="zh-CN"/>
        </w:rPr>
        <w:t>B电快速瞬变脉冲群抗扰度应符合GB/T30148-2013中12.3.4的规定；</w:t>
      </w:r>
    </w:p>
    <w:p>
      <w:pPr>
        <w:pStyle w:val="43"/>
        <w:numPr>
          <w:ilvl w:val="0"/>
          <w:numId w:val="0"/>
        </w:numPr>
        <w:ind w:leftChars="0"/>
        <w:rPr>
          <w:rFonts w:hint="default"/>
          <w:color w:val="auto"/>
          <w:lang w:val="en-US" w:eastAsia="zh-CN"/>
        </w:rPr>
      </w:pPr>
      <w:r>
        <w:rPr>
          <w:rFonts w:hint="eastAsia"/>
          <w:color w:val="auto"/>
          <w:lang w:val="en-US" w:eastAsia="zh-CN"/>
        </w:rPr>
        <w:t>C浪涌（冲击）抗扰度应符合GB/T30148-2013中13.3.4的规定；</w:t>
      </w:r>
    </w:p>
    <w:p>
      <w:pPr>
        <w:pStyle w:val="43"/>
        <w:numPr>
          <w:ilvl w:val="0"/>
          <w:numId w:val="3"/>
        </w:numPr>
        <w:rPr>
          <w:color w:val="auto"/>
          <w:lang w:val="zh-CN"/>
        </w:rPr>
      </w:pPr>
      <w:r>
        <w:rPr>
          <w:rFonts w:hint="eastAsia"/>
          <w:color w:val="auto"/>
          <w:lang w:val="zh-CN"/>
        </w:rPr>
        <w:sym w:font="Wingdings 2" w:char="F0EA"/>
      </w:r>
      <w:r>
        <w:rPr>
          <w:rFonts w:hint="eastAsia"/>
          <w:color w:val="auto"/>
          <w:lang w:val="zh-CN"/>
        </w:rPr>
        <w:t>防腐性能：路桩阻挡主体应进行防锈处理，耐腐蚀等级应大于或等于本标准规定的</w:t>
      </w:r>
      <w:r>
        <w:rPr>
          <w:rFonts w:hint="eastAsia"/>
          <w:color w:val="auto"/>
          <w:lang w:val="en-US" w:eastAsia="zh-CN"/>
        </w:rPr>
        <w:t>7级要求。</w:t>
      </w:r>
      <w:r>
        <w:rPr>
          <w:rFonts w:hint="eastAsia"/>
          <w:color w:val="auto"/>
          <w:lang w:val="zh-CN" w:eastAsia="zh-CN"/>
        </w:rPr>
        <w:t>（需要检验报告中体现，否则视为废标）</w:t>
      </w:r>
    </w:p>
    <w:p>
      <w:pPr>
        <w:pStyle w:val="43"/>
        <w:numPr>
          <w:ilvl w:val="0"/>
          <w:numId w:val="3"/>
        </w:numPr>
        <w:rPr>
          <w:color w:val="auto"/>
          <w:lang w:val="zh-CN"/>
        </w:rPr>
      </w:pPr>
      <w:r>
        <w:rPr>
          <w:rFonts w:hint="eastAsia"/>
          <w:color w:val="auto"/>
          <w:lang w:val="zh-CN"/>
        </w:rPr>
        <w:sym w:font="Wingdings 2" w:char="F0EA"/>
      </w:r>
      <w:r>
        <w:rPr>
          <w:rFonts w:hint="eastAsia"/>
          <w:color w:val="auto"/>
          <w:lang w:val="zh-CN"/>
        </w:rPr>
        <w:t>可靠性：常温下，路障连续升降</w:t>
      </w:r>
      <w:r>
        <w:rPr>
          <w:rFonts w:hint="eastAsia"/>
          <w:color w:val="auto"/>
          <w:lang w:val="en-US" w:eastAsia="zh-CN"/>
        </w:rPr>
        <w:t>5000次应无停机及故障产生，且升降灵活、到位准确</w:t>
      </w:r>
      <w:r>
        <w:rPr>
          <w:rFonts w:hint="eastAsia"/>
          <w:color w:val="auto"/>
          <w:lang w:val="zh-CN" w:eastAsia="zh-CN"/>
        </w:rPr>
        <w:t>（需要检验报告中体现，否则视为废标）</w:t>
      </w:r>
      <w:r>
        <w:rPr>
          <w:rFonts w:hint="eastAsia"/>
          <w:color w:val="auto"/>
          <w:lang w:val="zh-CN"/>
        </w:rPr>
        <w:t>。</w:t>
      </w:r>
    </w:p>
    <w:p>
      <w:pPr>
        <w:pStyle w:val="43"/>
        <w:numPr>
          <w:ilvl w:val="0"/>
          <w:numId w:val="3"/>
        </w:numPr>
        <w:rPr>
          <w:color w:val="auto"/>
          <w:lang w:val="zh-CN"/>
        </w:rPr>
      </w:pPr>
      <w:r>
        <w:rPr>
          <w:rFonts w:hint="eastAsia"/>
          <w:color w:val="auto"/>
          <w:lang w:val="zh-CN"/>
        </w:rPr>
        <w:t>静态负载力要求：不小于20吨（下降状态）</w:t>
      </w:r>
    </w:p>
    <w:p>
      <w:pPr>
        <w:pStyle w:val="43"/>
        <w:numPr>
          <w:ilvl w:val="0"/>
          <w:numId w:val="3"/>
        </w:numPr>
        <w:rPr>
          <w:color w:val="auto"/>
          <w:lang w:val="zh-CN"/>
        </w:rPr>
      </w:pPr>
      <w:r>
        <w:rPr>
          <w:rFonts w:hint="eastAsia"/>
          <w:color w:val="auto"/>
          <w:lang w:val="zh-CN"/>
        </w:rPr>
        <w:sym w:font="Wingdings 2" w:char="F0EA"/>
      </w:r>
      <w:r>
        <w:rPr>
          <w:rFonts w:hint="eastAsia"/>
          <w:color w:val="auto"/>
          <w:lang w:val="zh-CN"/>
        </w:rPr>
        <w:t>警示装置1：运动柱体表面有反光警示条，宽度大于50mm，颜色为柠檬黄。</w:t>
      </w:r>
    </w:p>
    <w:p>
      <w:pPr>
        <w:pStyle w:val="43"/>
        <w:numPr>
          <w:ilvl w:val="0"/>
          <w:numId w:val="3"/>
        </w:numPr>
        <w:rPr>
          <w:color w:val="auto"/>
          <w:lang w:val="zh-CN"/>
        </w:rPr>
      </w:pPr>
      <w:r>
        <w:rPr>
          <w:rFonts w:hint="eastAsia"/>
          <w:color w:val="auto"/>
          <w:lang w:val="zh-CN"/>
        </w:rPr>
        <w:sym w:font="Wingdings 2" w:char="F0EA"/>
      </w:r>
      <w:r>
        <w:rPr>
          <w:rFonts w:hint="eastAsia"/>
          <w:color w:val="auto"/>
          <w:lang w:val="zh-CN"/>
        </w:rPr>
        <w:t>警示装置2：运动柱体顶部设置LED警示灯带，灯芯之间的距离不得大于40mm。运动柱体运行过程中警示灯闪烁，其余时间常亮，且运动柱体完全下降后，夜晚中在远处仍可明显观察到地面有警示灯光。</w:t>
      </w:r>
    </w:p>
    <w:p>
      <w:pPr>
        <w:pStyle w:val="43"/>
        <w:numPr>
          <w:ilvl w:val="0"/>
          <w:numId w:val="3"/>
        </w:numPr>
        <w:rPr>
          <w:color w:val="auto"/>
          <w:lang w:val="zh-CN"/>
        </w:rPr>
      </w:pPr>
      <w:r>
        <w:rPr>
          <w:rFonts w:hint="eastAsia"/>
          <w:color w:val="auto"/>
          <w:lang w:val="zh-CN"/>
        </w:rPr>
        <w:sym w:font="Wingdings 2" w:char="F0EA"/>
      </w:r>
      <w:r>
        <w:rPr>
          <w:rFonts w:hint="eastAsia"/>
          <w:color w:val="auto"/>
          <w:lang w:val="zh-CN"/>
        </w:rPr>
        <w:t>防滑设计：地面面板部分及运动柱体顶部必须设置防滑纹，防滑纹的深度、宽度均不得低于2mm，且防滑纹之间每个区域的内切圆直径不得大于60mm。</w:t>
      </w:r>
    </w:p>
    <w:p>
      <w:pPr>
        <w:pStyle w:val="43"/>
        <w:numPr>
          <w:ilvl w:val="0"/>
          <w:numId w:val="3"/>
        </w:numPr>
        <w:rPr>
          <w:b w:val="0"/>
          <w:bCs/>
          <w:color w:val="auto"/>
          <w:lang w:val="zh-CN"/>
        </w:rPr>
      </w:pPr>
      <w:r>
        <w:rPr>
          <w:rFonts w:hint="eastAsia"/>
          <w:b w:val="0"/>
          <w:bCs/>
          <w:color w:val="auto"/>
          <w:lang w:val="zh-CN"/>
        </w:rPr>
        <w:sym w:font="Wingdings 2" w:char="F0EA"/>
      </w:r>
      <w:r>
        <w:rPr>
          <w:rFonts w:hint="eastAsia"/>
          <w:b w:val="0"/>
          <w:bCs/>
          <w:color w:val="auto"/>
          <w:lang w:val="zh-CN"/>
        </w:rPr>
        <w:t>抗撞击能力：升降柱完全伸出后，应能承受不</w:t>
      </w:r>
      <w:r>
        <w:rPr>
          <w:rFonts w:hint="eastAsia"/>
          <w:b w:val="0"/>
          <w:bCs/>
          <w:color w:val="auto"/>
          <w:lang w:val="zh-CN" w:eastAsia="zh-CN"/>
        </w:rPr>
        <w:t>小</w:t>
      </w:r>
      <w:r>
        <w:rPr>
          <w:rFonts w:hint="eastAsia"/>
          <w:b w:val="0"/>
          <w:bCs/>
          <w:color w:val="auto"/>
          <w:lang w:val="zh-CN"/>
        </w:rPr>
        <w:t>于</w:t>
      </w:r>
      <w:r>
        <w:rPr>
          <w:rFonts w:hint="eastAsia"/>
          <w:b w:val="0"/>
          <w:bCs/>
          <w:color w:val="auto"/>
          <w:lang w:val="en-US" w:eastAsia="zh-CN"/>
        </w:rPr>
        <w:t>6800</w:t>
      </w:r>
      <w:r>
        <w:rPr>
          <w:rFonts w:hint="eastAsia"/>
          <w:b w:val="0"/>
          <w:bCs/>
          <w:color w:val="auto"/>
          <w:lang w:val="zh-CN"/>
        </w:rPr>
        <w:t>Kg以上的汽车或重物以不小于</w:t>
      </w:r>
      <w:r>
        <w:rPr>
          <w:rFonts w:hint="eastAsia"/>
          <w:b w:val="0"/>
          <w:bCs/>
          <w:color w:val="auto"/>
          <w:lang w:val="en-US" w:eastAsia="zh-CN"/>
        </w:rPr>
        <w:t>1108K</w:t>
      </w:r>
      <w:r>
        <w:rPr>
          <w:rFonts w:hint="eastAsia"/>
          <w:b w:val="0"/>
          <w:bCs/>
          <w:color w:val="auto"/>
          <w:lang w:val="zh-CN"/>
        </w:rPr>
        <w:t>J的动能撞击1次，撞击结束后，运动柱体无明显形变，且可正常运行，阻挡能量等级符合</w:t>
      </w:r>
      <w:r>
        <w:rPr>
          <w:rFonts w:hint="eastAsia"/>
          <w:b w:val="0"/>
          <w:bCs/>
          <w:color w:val="auto"/>
          <w:lang w:val="en-US" w:eastAsia="zh-CN"/>
        </w:rPr>
        <w:t>B2要求</w:t>
      </w:r>
      <w:r>
        <w:rPr>
          <w:rFonts w:hint="eastAsia"/>
          <w:b w:val="0"/>
          <w:bCs/>
          <w:color w:val="auto"/>
          <w:lang w:val="zh-CN"/>
        </w:rPr>
        <w:t>。</w:t>
      </w:r>
      <w:r>
        <w:rPr>
          <w:rFonts w:hint="eastAsia"/>
          <w:b w:val="0"/>
          <w:bCs/>
          <w:color w:val="auto"/>
          <w:lang w:val="zh-CN" w:eastAsia="zh-CN"/>
        </w:rPr>
        <w:t>（需要检验报告中体现，否则视为废标）</w:t>
      </w:r>
      <w:r>
        <w:rPr>
          <w:rFonts w:hint="eastAsia"/>
          <w:b w:val="0"/>
          <w:bCs/>
          <w:color w:val="auto"/>
          <w:lang w:val="zh-CN"/>
        </w:rPr>
        <w:t>。</w:t>
      </w:r>
    </w:p>
    <w:p>
      <w:pPr>
        <w:pStyle w:val="43"/>
        <w:numPr>
          <w:ilvl w:val="0"/>
          <w:numId w:val="3"/>
        </w:numPr>
        <w:rPr>
          <w:b w:val="0"/>
          <w:bCs/>
          <w:color w:val="auto"/>
          <w:lang w:val="zh-CN"/>
        </w:rPr>
      </w:pPr>
      <w:r>
        <w:rPr>
          <w:rFonts w:hint="eastAsia"/>
          <w:b w:val="0"/>
          <w:bCs/>
          <w:color w:val="auto"/>
          <w:lang w:val="zh-CN"/>
        </w:rPr>
        <w:sym w:font="Wingdings 2" w:char="F0EA"/>
      </w:r>
      <w:r>
        <w:rPr>
          <w:rFonts w:hint="eastAsia"/>
          <w:b w:val="0"/>
          <w:bCs/>
          <w:color w:val="auto"/>
          <w:lang w:val="zh-CN"/>
        </w:rPr>
        <w:t>入侵距离：车辆侵入距离</w:t>
      </w:r>
      <w:r>
        <w:rPr>
          <w:rFonts w:hint="eastAsia"/>
          <w:b w:val="0"/>
          <w:bCs/>
          <w:color w:val="auto"/>
          <w:lang w:val="zh-CN" w:eastAsia="zh-CN"/>
        </w:rPr>
        <w:t>不小于</w:t>
      </w:r>
      <w:r>
        <w:rPr>
          <w:rFonts w:hint="eastAsia"/>
          <w:b w:val="0"/>
          <w:bCs/>
          <w:color w:val="auto"/>
          <w:lang w:val="en-US" w:eastAsia="zh-CN"/>
        </w:rPr>
        <w:t>6.0米。</w:t>
      </w:r>
      <w:r>
        <w:rPr>
          <w:rFonts w:hint="eastAsia"/>
          <w:b w:val="0"/>
          <w:bCs/>
          <w:color w:val="auto"/>
          <w:lang w:val="zh-CN" w:eastAsia="zh-CN"/>
        </w:rPr>
        <w:t>（需要检验报告中体现，否则视为废标）</w:t>
      </w:r>
    </w:p>
    <w:p>
      <w:pPr>
        <w:pStyle w:val="43"/>
        <w:numPr>
          <w:ilvl w:val="0"/>
          <w:numId w:val="3"/>
        </w:numPr>
        <w:rPr>
          <w:b w:val="0"/>
          <w:bCs/>
          <w:color w:val="auto"/>
          <w:lang w:val="zh-CN"/>
        </w:rPr>
      </w:pPr>
      <w:r>
        <w:rPr>
          <w:rFonts w:hint="eastAsia"/>
          <w:b w:val="0"/>
          <w:bCs/>
          <w:color w:val="auto"/>
          <w:lang w:val="zh-CN"/>
        </w:rPr>
        <w:sym w:font="Wingdings 2" w:char="F0EA"/>
      </w:r>
      <w:r>
        <w:rPr>
          <w:rFonts w:hint="eastAsia"/>
          <w:b w:val="0"/>
          <w:bCs/>
          <w:color w:val="auto"/>
          <w:lang w:val="zh-CN"/>
        </w:rPr>
        <w:t>地面面板强度：地面面板须采用高强度金属制造制造，其厚度不得小于20mm，其中屈服强度不得小于350Mpa，抗拉强度不得小于450 Mpa，</w:t>
      </w:r>
      <w:r>
        <w:rPr>
          <w:rFonts w:hint="eastAsia"/>
          <w:b w:val="0"/>
          <w:bCs/>
          <w:color w:val="auto"/>
          <w:lang w:val="zh-CN" w:eastAsia="zh-CN"/>
        </w:rPr>
        <w:t>（需要检验报告中体现，否则视为废标）</w:t>
      </w:r>
    </w:p>
    <w:p>
      <w:pPr>
        <w:pStyle w:val="43"/>
        <w:numPr>
          <w:ilvl w:val="0"/>
          <w:numId w:val="3"/>
        </w:numPr>
        <w:rPr>
          <w:b w:val="0"/>
          <w:bCs/>
          <w:color w:val="auto"/>
          <w:lang w:val="zh-CN"/>
        </w:rPr>
      </w:pPr>
      <w:r>
        <w:rPr>
          <w:rFonts w:hint="eastAsia"/>
          <w:b w:val="0"/>
          <w:bCs/>
          <w:color w:val="auto"/>
          <w:lang w:val="zh-CN"/>
        </w:rPr>
        <w:t>控制方式：手控按钮盒+遥控器（遥控器上设置有保险开关）</w:t>
      </w:r>
      <w:r>
        <w:rPr>
          <w:rFonts w:hint="eastAsia"/>
          <w:b w:val="0"/>
          <w:bCs/>
          <w:color w:val="auto"/>
          <w:lang w:val="zh-CN" w:eastAsia="zh-CN"/>
        </w:rPr>
        <w:t>。</w:t>
      </w:r>
    </w:p>
    <w:p>
      <w:pPr>
        <w:pStyle w:val="43"/>
        <w:numPr>
          <w:ilvl w:val="0"/>
          <w:numId w:val="3"/>
        </w:numPr>
        <w:rPr>
          <w:b w:val="0"/>
          <w:bCs/>
          <w:color w:val="auto"/>
          <w:lang w:val="zh-CN"/>
        </w:rPr>
      </w:pPr>
      <w:bookmarkStart w:id="76" w:name="OLE_LINK2"/>
      <w:bookmarkStart w:id="77" w:name="OLE_LINK1"/>
      <w:r>
        <w:rPr>
          <w:rFonts w:hint="eastAsia"/>
          <w:b w:val="0"/>
          <w:bCs/>
          <w:color w:val="auto"/>
          <w:lang w:val="zh-CN"/>
        </w:rPr>
        <w:sym w:font="Wingdings 2" w:char="F0EA"/>
      </w:r>
      <w:r>
        <w:rPr>
          <w:rFonts w:hint="eastAsia"/>
          <w:b w:val="0"/>
          <w:bCs/>
          <w:color w:val="auto"/>
          <w:lang w:val="zh-CN"/>
        </w:rPr>
        <w:t>升降柱</w:t>
      </w:r>
      <w:bookmarkEnd w:id="76"/>
      <w:bookmarkEnd w:id="77"/>
      <w:r>
        <w:rPr>
          <w:rFonts w:hint="eastAsia"/>
          <w:b w:val="0"/>
          <w:bCs/>
          <w:color w:val="auto"/>
          <w:lang w:val="zh-CN"/>
        </w:rPr>
        <w:t>运行速度：升降柱应具备2种运行速度（提供2个上升按钮），以满足日常使用需求及反恐使用需求</w:t>
      </w:r>
      <w:r>
        <w:rPr>
          <w:rFonts w:hint="eastAsia"/>
          <w:b w:val="0"/>
          <w:bCs/>
          <w:color w:val="auto"/>
          <w:lang w:val="zh-CN" w:eastAsia="zh-CN"/>
        </w:rPr>
        <w:t>。</w:t>
      </w:r>
    </w:p>
    <w:p>
      <w:pPr>
        <w:pStyle w:val="42"/>
        <w:numPr>
          <w:ilvl w:val="0"/>
          <w:numId w:val="4"/>
        </w:numPr>
        <w:rPr>
          <w:b w:val="0"/>
          <w:bCs/>
          <w:color w:val="auto"/>
          <w:lang w:val="zh-CN"/>
        </w:rPr>
      </w:pPr>
      <w:r>
        <w:rPr>
          <w:rFonts w:hint="eastAsia"/>
          <w:b w:val="0"/>
          <w:bCs/>
          <w:color w:val="auto"/>
          <w:lang w:val="zh-CN"/>
        </w:rPr>
        <w:t>普通速度：上升时间≤3s（速度：≥20cm/s）且可调节,下降：≤3 s（速度：≥20cm/s）且可调节；</w:t>
      </w:r>
    </w:p>
    <w:p>
      <w:pPr>
        <w:pStyle w:val="42"/>
        <w:numPr>
          <w:ilvl w:val="0"/>
          <w:numId w:val="4"/>
        </w:numPr>
        <w:rPr>
          <w:b w:val="0"/>
          <w:bCs/>
          <w:color w:val="auto"/>
          <w:lang w:val="zh-CN"/>
        </w:rPr>
      </w:pPr>
      <w:r>
        <w:rPr>
          <w:rFonts w:hint="eastAsia"/>
          <w:b w:val="0"/>
          <w:bCs/>
          <w:color w:val="auto"/>
          <w:lang w:val="zh-CN"/>
        </w:rPr>
        <w:t>反恐速度：上升时间≤1s（速度：60cm/s），需要有相关专利文件或样品证明。</w:t>
      </w:r>
    </w:p>
    <w:p>
      <w:pPr>
        <w:pStyle w:val="43"/>
        <w:numPr>
          <w:ilvl w:val="0"/>
          <w:numId w:val="3"/>
        </w:numPr>
        <w:rPr>
          <w:b w:val="0"/>
          <w:bCs/>
          <w:color w:val="auto"/>
          <w:lang w:val="zh-CN"/>
        </w:rPr>
      </w:pPr>
      <w:r>
        <w:rPr>
          <w:rFonts w:hint="eastAsia"/>
          <w:b w:val="0"/>
          <w:bCs/>
          <w:color w:val="auto"/>
          <w:lang w:val="zh-CN"/>
        </w:rPr>
        <w:sym w:font="Wingdings 2" w:char="F0EA"/>
      </w:r>
      <w:r>
        <w:rPr>
          <w:rFonts w:hint="eastAsia"/>
          <w:b w:val="0"/>
          <w:bCs/>
          <w:color w:val="auto"/>
          <w:lang w:val="zh-CN"/>
        </w:rPr>
        <w:t>运动柱体断电状态：断电后，运动柱体自动下降。</w:t>
      </w:r>
    </w:p>
    <w:p>
      <w:pPr>
        <w:pStyle w:val="43"/>
        <w:numPr>
          <w:ilvl w:val="0"/>
          <w:numId w:val="3"/>
        </w:numPr>
        <w:rPr>
          <w:b w:val="0"/>
          <w:bCs/>
          <w:color w:val="auto"/>
          <w:lang w:val="zh-CN"/>
        </w:rPr>
      </w:pPr>
      <w:r>
        <w:rPr>
          <w:rFonts w:hint="eastAsia"/>
          <w:b w:val="0"/>
          <w:bCs/>
          <w:color w:val="auto"/>
          <w:lang w:val="zh-CN"/>
        </w:rPr>
        <w:t>具备拓展功能：远程控制，所有的升降柱控制系统可接入局域网或广域网，并提供配套的电脑客户端软件，可通过电脑客户端操作所有联网升降柱运行。客户端软件应支持的基本功能有：</w:t>
      </w:r>
    </w:p>
    <w:p>
      <w:pPr>
        <w:pStyle w:val="42"/>
        <w:numPr>
          <w:ilvl w:val="0"/>
          <w:numId w:val="5"/>
        </w:numPr>
        <w:ind w:left="1261" w:leftChars="573"/>
        <w:rPr>
          <w:b w:val="0"/>
          <w:bCs/>
          <w:color w:val="auto"/>
          <w:lang w:val="zh-CN"/>
        </w:rPr>
      </w:pPr>
      <w:r>
        <w:rPr>
          <w:rFonts w:hint="eastAsia"/>
          <w:b w:val="0"/>
          <w:bCs/>
          <w:color w:val="auto"/>
          <w:lang w:val="zh-CN"/>
        </w:rPr>
        <w:t>支持多账号登录</w:t>
      </w:r>
    </w:p>
    <w:p>
      <w:pPr>
        <w:pStyle w:val="42"/>
        <w:numPr>
          <w:ilvl w:val="0"/>
          <w:numId w:val="5"/>
        </w:numPr>
        <w:ind w:left="1261" w:leftChars="573"/>
        <w:rPr>
          <w:b w:val="0"/>
          <w:bCs/>
          <w:color w:val="auto"/>
          <w:lang w:val="zh-CN"/>
        </w:rPr>
      </w:pPr>
      <w:r>
        <w:rPr>
          <w:rFonts w:hint="eastAsia"/>
          <w:b w:val="0"/>
          <w:bCs/>
          <w:color w:val="auto"/>
          <w:lang w:val="zh-CN"/>
        </w:rPr>
        <w:t>支持操作记录查询功能（操作账号、操作方式、操作时间）</w:t>
      </w:r>
    </w:p>
    <w:p>
      <w:pPr>
        <w:pStyle w:val="42"/>
        <w:numPr>
          <w:ilvl w:val="0"/>
          <w:numId w:val="5"/>
        </w:numPr>
        <w:ind w:left="1261" w:leftChars="573"/>
        <w:rPr>
          <w:b w:val="0"/>
          <w:bCs/>
          <w:color w:val="auto"/>
          <w:lang w:val="zh-CN"/>
        </w:rPr>
      </w:pPr>
      <w:r>
        <w:rPr>
          <w:rFonts w:hint="eastAsia"/>
          <w:b w:val="0"/>
          <w:bCs/>
          <w:color w:val="auto"/>
          <w:lang w:val="zh-CN"/>
        </w:rPr>
        <w:t>升降柱运行时，客户端应有模拟动画</w:t>
      </w:r>
    </w:p>
    <w:p>
      <w:pPr>
        <w:pStyle w:val="42"/>
        <w:numPr>
          <w:ilvl w:val="0"/>
          <w:numId w:val="5"/>
        </w:numPr>
        <w:ind w:left="1261" w:leftChars="573"/>
        <w:rPr>
          <w:b w:val="0"/>
          <w:bCs/>
          <w:color w:val="auto"/>
          <w:lang w:val="zh-CN"/>
        </w:rPr>
      </w:pPr>
      <w:r>
        <w:rPr>
          <w:rFonts w:hint="eastAsia"/>
          <w:b w:val="0"/>
          <w:bCs/>
          <w:color w:val="auto"/>
          <w:lang w:val="zh-CN"/>
        </w:rPr>
        <w:t>可分组操作升降柱，也可“一键”操作所有升降柱升降。</w:t>
      </w:r>
    </w:p>
    <w:p>
      <w:pPr>
        <w:pStyle w:val="42"/>
        <w:numPr>
          <w:ilvl w:val="0"/>
          <w:numId w:val="5"/>
        </w:numPr>
        <w:ind w:left="1261" w:leftChars="573"/>
        <w:rPr>
          <w:b w:val="0"/>
          <w:bCs/>
          <w:color w:val="auto"/>
          <w:lang w:val="zh-CN"/>
        </w:rPr>
      </w:pPr>
      <w:r>
        <w:rPr>
          <w:rFonts w:hint="eastAsia"/>
          <w:b w:val="0"/>
          <w:bCs/>
          <w:color w:val="auto"/>
          <w:lang w:val="zh-CN"/>
        </w:rPr>
        <w:t>使用手控按钮盒或者遥控器操作升降柱上升或下降后，客户端也应及时切换显示升降柱升降运行状态。</w:t>
      </w:r>
    </w:p>
    <w:p>
      <w:pPr>
        <w:pStyle w:val="42"/>
        <w:numPr>
          <w:ilvl w:val="0"/>
          <w:numId w:val="5"/>
        </w:numPr>
        <w:ind w:left="1261" w:leftChars="573"/>
        <w:rPr>
          <w:b w:val="0"/>
          <w:bCs/>
          <w:color w:val="auto"/>
          <w:lang w:val="zh-CN"/>
        </w:rPr>
      </w:pPr>
      <w:r>
        <w:rPr>
          <w:rFonts w:hint="eastAsia"/>
          <w:b w:val="0"/>
          <w:bCs/>
          <w:color w:val="auto"/>
          <w:lang w:val="zh-CN"/>
        </w:rPr>
        <w:t>可以与升降柱专用监控联动使用（在客户端上有实时监控画面）。</w:t>
      </w:r>
    </w:p>
    <w:p>
      <w:pPr>
        <w:pStyle w:val="3"/>
        <w:rPr>
          <w:lang w:val="zh-CN"/>
        </w:rPr>
      </w:pPr>
      <w:r>
        <w:rPr>
          <w:rFonts w:hint="eastAsia"/>
          <w:lang w:val="zh-CN"/>
        </w:rPr>
        <w:t>控制系统技术要求</w:t>
      </w:r>
    </w:p>
    <w:p>
      <w:pPr>
        <w:pStyle w:val="43"/>
        <w:numPr>
          <w:ilvl w:val="0"/>
          <w:numId w:val="6"/>
        </w:numPr>
        <w:rPr>
          <w:lang w:val="zh-CN"/>
        </w:rPr>
      </w:pPr>
      <w:r>
        <w:rPr>
          <w:rFonts w:hint="eastAsia"/>
          <w:lang w:val="zh-CN"/>
        </w:rPr>
        <w:t>工作电压：AC220V，50Hz</w:t>
      </w:r>
    </w:p>
    <w:p>
      <w:pPr>
        <w:pStyle w:val="43"/>
        <w:numPr>
          <w:ilvl w:val="0"/>
          <w:numId w:val="6"/>
        </w:numPr>
        <w:rPr>
          <w:rFonts w:ascii="宋体" w:hAnsi="宋体"/>
          <w:szCs w:val="21"/>
          <w:lang w:val="zh-CN"/>
        </w:rPr>
      </w:pPr>
      <w:r>
        <w:rPr>
          <w:rFonts w:hint="eastAsia" w:ascii="宋体" w:hAnsi="宋体"/>
          <w:szCs w:val="21"/>
          <w:lang w:val="zh-CN"/>
        </w:rPr>
        <w:t>使用功率：控制系统功率不大于2000W</w:t>
      </w:r>
    </w:p>
    <w:p>
      <w:pPr>
        <w:pStyle w:val="43"/>
        <w:numPr>
          <w:ilvl w:val="0"/>
          <w:numId w:val="6"/>
        </w:numPr>
        <w:rPr>
          <w:lang w:val="zh-CN"/>
        </w:rPr>
      </w:pPr>
      <w:r>
        <w:rPr>
          <w:rFonts w:hint="eastAsia"/>
          <w:lang w:val="zh-CN"/>
        </w:rPr>
        <w:t>空气压缩机要求：医用静音无油空气压缩机</w:t>
      </w:r>
    </w:p>
    <w:p>
      <w:pPr>
        <w:pStyle w:val="43"/>
        <w:numPr>
          <w:ilvl w:val="0"/>
          <w:numId w:val="6"/>
        </w:numPr>
        <w:rPr>
          <w:lang w:val="zh-CN"/>
        </w:rPr>
      </w:pPr>
      <w:r>
        <w:rPr>
          <w:rFonts w:hint="eastAsia"/>
          <w:lang w:val="zh-CN"/>
        </w:rPr>
        <w:t>储气罐容量：不小于38L</w:t>
      </w:r>
    </w:p>
    <w:p>
      <w:pPr>
        <w:pStyle w:val="43"/>
        <w:numPr>
          <w:ilvl w:val="0"/>
          <w:numId w:val="6"/>
        </w:numPr>
        <w:rPr>
          <w:lang w:val="zh-CN"/>
        </w:rPr>
      </w:pPr>
      <w:r>
        <w:rPr>
          <w:rFonts w:hint="eastAsia"/>
          <w:lang w:val="zh-CN"/>
        </w:rPr>
        <w:t>气压检测：储气罐设置压力检测表、输出回路设置压力检测表</w:t>
      </w:r>
    </w:p>
    <w:p>
      <w:pPr>
        <w:pStyle w:val="43"/>
        <w:numPr>
          <w:ilvl w:val="0"/>
          <w:numId w:val="6"/>
        </w:numPr>
        <w:rPr>
          <w:lang w:val="zh-CN"/>
        </w:rPr>
      </w:pPr>
      <w:r>
        <w:rPr>
          <w:rFonts w:hint="eastAsia"/>
          <w:lang w:val="zh-CN"/>
        </w:rPr>
        <w:t>工作噪音：不大于60分贝</w:t>
      </w:r>
    </w:p>
    <w:p>
      <w:pPr>
        <w:pStyle w:val="43"/>
        <w:numPr>
          <w:ilvl w:val="0"/>
          <w:numId w:val="6"/>
        </w:numPr>
        <w:rPr>
          <w:lang w:val="zh-CN"/>
        </w:rPr>
      </w:pPr>
      <w:r>
        <w:rPr>
          <w:rFonts w:hint="eastAsia"/>
          <w:lang w:val="zh-CN"/>
        </w:rPr>
        <w:t>制造压缩空气能力：不小于150L/min（1个标准大气压）</w:t>
      </w:r>
    </w:p>
    <w:p>
      <w:pPr>
        <w:pStyle w:val="43"/>
        <w:numPr>
          <w:ilvl w:val="0"/>
          <w:numId w:val="6"/>
        </w:numPr>
        <w:rPr>
          <w:lang w:val="zh-CN"/>
        </w:rPr>
      </w:pPr>
      <w:r>
        <w:rPr>
          <w:rFonts w:hint="eastAsia"/>
          <w:lang w:val="zh-CN"/>
        </w:rPr>
        <w:t>排污装置：储气罐上应设置有自动排污装置，以排除空气压缩机工作时，所积聚的水分、杂质。要求无需人工操作，且免维护，每小时至少进行 1次自动排污。</w:t>
      </w:r>
    </w:p>
    <w:p>
      <w:pPr>
        <w:pStyle w:val="43"/>
        <w:numPr>
          <w:ilvl w:val="0"/>
          <w:numId w:val="6"/>
        </w:numPr>
        <w:rPr>
          <w:lang w:val="zh-CN"/>
        </w:rPr>
      </w:pPr>
      <w:r>
        <w:rPr>
          <w:rFonts w:hint="eastAsia"/>
          <w:lang w:val="zh-CN"/>
        </w:rPr>
        <w:t>气液分装置：在储气罐出气口后端必须设置至少2级气液分离装置，以分离、排除压缩空气中的水分。</w:t>
      </w:r>
    </w:p>
    <w:p>
      <w:pPr>
        <w:pStyle w:val="43"/>
        <w:numPr>
          <w:ilvl w:val="0"/>
          <w:numId w:val="6"/>
        </w:numPr>
        <w:rPr>
          <w:lang w:val="zh-CN"/>
        </w:rPr>
      </w:pPr>
      <w:r>
        <w:rPr>
          <w:rFonts w:hint="eastAsia"/>
          <w:lang w:val="zh-CN"/>
        </w:rPr>
        <w:t>工作温度：-10~55℃</w:t>
      </w:r>
    </w:p>
    <w:p>
      <w:pPr>
        <w:pStyle w:val="43"/>
        <w:numPr>
          <w:ilvl w:val="0"/>
          <w:numId w:val="6"/>
        </w:numPr>
        <w:rPr>
          <w:lang w:val="zh-CN"/>
        </w:rPr>
      </w:pPr>
      <w:r>
        <w:rPr>
          <w:rFonts w:hint="eastAsia"/>
          <w:lang w:val="zh-CN"/>
        </w:rPr>
        <w:t>防护等级：IP54</w:t>
      </w:r>
    </w:p>
    <w:p>
      <w:pPr>
        <w:pStyle w:val="43"/>
        <w:numPr>
          <w:ilvl w:val="0"/>
          <w:numId w:val="6"/>
        </w:numPr>
        <w:rPr>
          <w:lang w:val="zh-CN"/>
        </w:rPr>
      </w:pPr>
      <w:r>
        <w:rPr>
          <w:rFonts w:hint="eastAsia"/>
          <w:lang w:val="zh-CN"/>
        </w:rPr>
        <w:t>控制系统外箱表面处理：喷塑处理，颜色宜为浅灰色。</w:t>
      </w:r>
    </w:p>
    <w:p>
      <w:pPr>
        <w:pStyle w:val="43"/>
        <w:numPr>
          <w:ilvl w:val="0"/>
          <w:numId w:val="6"/>
        </w:numPr>
        <w:rPr>
          <w:lang w:val="zh-CN"/>
        </w:rPr>
      </w:pPr>
      <w:r>
        <w:rPr>
          <w:rFonts w:hint="eastAsia"/>
          <w:lang w:val="zh-CN"/>
        </w:rPr>
        <w:sym w:font="Wingdings 2" w:char="F0EA"/>
      </w:r>
      <w:r>
        <w:rPr>
          <w:rFonts w:hint="eastAsia"/>
          <w:lang w:val="zh-CN"/>
        </w:rPr>
        <w:t>升降记录：控制柜内设置有“数据记录器”模块，可完整记录升降柱每次升降操作时间及操作方式。</w:t>
      </w:r>
    </w:p>
    <w:p>
      <w:pPr>
        <w:pStyle w:val="43"/>
        <w:numPr>
          <w:ilvl w:val="0"/>
          <w:numId w:val="6"/>
        </w:numPr>
        <w:rPr>
          <w:lang w:val="zh-CN"/>
        </w:rPr>
      </w:pPr>
      <w:r>
        <w:rPr>
          <w:rFonts w:hint="eastAsia"/>
          <w:lang w:val="zh-CN"/>
        </w:rPr>
        <w:t xml:space="preserve">控制板提供地感信号、红外信号、火警信号输入接口。 </w:t>
      </w:r>
    </w:p>
    <w:p>
      <w:pPr>
        <w:pStyle w:val="3"/>
        <w:numPr>
          <w:ilvl w:val="1"/>
          <w:numId w:val="0"/>
        </w:numPr>
        <w:rPr>
          <w:rFonts w:ascii="Times New Roman" w:hAnsi="Times New Roman"/>
          <w:b w:val="0"/>
          <w:bCs w:val="0"/>
          <w:kern w:val="2"/>
          <w:sz w:val="24"/>
          <w:szCs w:val="24"/>
        </w:rPr>
      </w:pPr>
    </w:p>
    <w:p>
      <w:pPr>
        <w:pStyle w:val="3"/>
        <w:rPr>
          <w:rFonts w:ascii="Times New Roman" w:hAnsi="Times New Roman"/>
          <w:b w:val="0"/>
          <w:bCs w:val="0"/>
          <w:kern w:val="2"/>
          <w:sz w:val="24"/>
          <w:szCs w:val="24"/>
        </w:rPr>
      </w:pPr>
      <w:r>
        <w:rPr>
          <w:rFonts w:ascii="Times New Roman" w:hAnsi="Times New Roman"/>
          <w:b w:val="0"/>
          <w:bCs w:val="0"/>
          <w:kern w:val="2"/>
          <w:sz w:val="24"/>
          <w:szCs w:val="24"/>
        </w:rPr>
        <w:t>项目服务要求</w:t>
      </w:r>
      <w:bookmarkEnd w:id="71"/>
    </w:p>
    <w:bookmarkEnd w:id="72"/>
    <w:bookmarkEnd w:id="73"/>
    <w:bookmarkEnd w:id="74"/>
    <w:bookmarkEnd w:id="75"/>
    <w:p>
      <w:pPr>
        <w:spacing w:line="360" w:lineRule="auto"/>
        <w:ind w:firstLine="480" w:firstLineChars="200"/>
        <w:rPr>
          <w:sz w:val="24"/>
          <w:szCs w:val="24"/>
        </w:rPr>
      </w:pPr>
      <w:r>
        <w:rPr>
          <w:rFonts w:hint="eastAsia"/>
          <w:sz w:val="24"/>
          <w:szCs w:val="24"/>
        </w:rPr>
        <w:t xml:space="preserve">(1) </w:t>
      </w:r>
      <w:r>
        <w:rPr>
          <w:sz w:val="24"/>
          <w:szCs w:val="24"/>
        </w:rPr>
        <w:t>故障紧急到场流程：要求设备停运的重大故障，集成商高级工程师到场处理；一般故障30分钟内响应，6小时不能远程解决问题的，工程师进行现场处理；</w:t>
      </w:r>
    </w:p>
    <w:p>
      <w:pPr>
        <w:spacing w:line="360" w:lineRule="auto"/>
        <w:ind w:firstLine="480" w:firstLineChars="200"/>
        <w:rPr>
          <w:sz w:val="24"/>
          <w:szCs w:val="24"/>
        </w:rPr>
      </w:pPr>
      <w:r>
        <w:rPr>
          <w:rFonts w:hint="eastAsia"/>
          <w:sz w:val="24"/>
          <w:szCs w:val="24"/>
        </w:rPr>
        <w:t xml:space="preserve">(2) </w:t>
      </w:r>
      <w:r>
        <w:rPr>
          <w:sz w:val="24"/>
          <w:szCs w:val="24"/>
        </w:rPr>
        <w:t>提供本项目所需的相关资料，在保证安全和质量的前提下提供技术服务，包括：技术咨询、技术资料、设备及软件的技术说明书、使用说明书、维护说明书等。</w:t>
      </w:r>
    </w:p>
    <w:p>
      <w:pPr>
        <w:spacing w:line="360" w:lineRule="auto"/>
        <w:ind w:firstLine="480" w:firstLineChars="200"/>
        <w:rPr>
          <w:sz w:val="24"/>
          <w:szCs w:val="24"/>
        </w:rPr>
      </w:pPr>
      <w:r>
        <w:rPr>
          <w:rFonts w:hint="eastAsia"/>
          <w:sz w:val="24"/>
          <w:szCs w:val="24"/>
        </w:rPr>
        <w:t xml:space="preserve">(3) </w:t>
      </w:r>
      <w:r>
        <w:rPr>
          <w:sz w:val="24"/>
          <w:szCs w:val="24"/>
        </w:rPr>
        <w:t>对于目前为止尚未形成最终建议的规范，服务提供商应在标准化组织发表一定时期内免费修改及更新软件版本。</w:t>
      </w:r>
    </w:p>
    <w:p>
      <w:pPr>
        <w:spacing w:line="360" w:lineRule="auto"/>
        <w:ind w:firstLine="480" w:firstLineChars="200"/>
        <w:rPr>
          <w:sz w:val="24"/>
          <w:szCs w:val="24"/>
        </w:rPr>
      </w:pPr>
      <w:r>
        <w:rPr>
          <w:rFonts w:hint="eastAsia"/>
          <w:sz w:val="24"/>
          <w:szCs w:val="24"/>
        </w:rPr>
        <w:t xml:space="preserve">(4) </w:t>
      </w:r>
      <w:r>
        <w:rPr>
          <w:sz w:val="24"/>
          <w:szCs w:val="24"/>
        </w:rPr>
        <w:t>服务提供商应对其售后服务、技术支持方面的情况做出说明，具体指出对本期项目能够提供的技术服务，具体指出在本期项目中服务的范围、服务的形式以及服务的等级和对应的价格。</w:t>
      </w:r>
    </w:p>
    <w:p>
      <w:pPr>
        <w:spacing w:line="360" w:lineRule="auto"/>
        <w:ind w:firstLine="480" w:firstLineChars="200"/>
        <w:rPr>
          <w:sz w:val="24"/>
          <w:szCs w:val="24"/>
        </w:rPr>
      </w:pPr>
      <w:r>
        <w:rPr>
          <w:sz w:val="24"/>
          <w:szCs w:val="24"/>
        </w:rPr>
        <w:t>服务提供商不得将本项目的详细信息以任何形式向外界透露。</w:t>
      </w:r>
    </w:p>
    <w:p>
      <w:pPr>
        <w:pStyle w:val="2"/>
        <w:suppressLineNumbers/>
        <w:ind w:left="602" w:hanging="602" w:hangingChars="200"/>
        <w:jc w:val="both"/>
        <w:rPr>
          <w:rFonts w:ascii="Times New Roman" w:hAnsi="Times New Roman" w:eastAsia="宋体"/>
          <w:bCs w:val="0"/>
          <w:kern w:val="2"/>
          <w:sz w:val="30"/>
          <w:szCs w:val="30"/>
        </w:rPr>
      </w:pPr>
      <w:bookmarkStart w:id="78" w:name="_Toc499194853"/>
      <w:bookmarkStart w:id="79" w:name="_Toc6122"/>
      <w:bookmarkStart w:id="80" w:name="_Toc386126473"/>
      <w:bookmarkStart w:id="81" w:name="_Toc28096"/>
      <w:bookmarkStart w:id="82" w:name="_Toc56326072"/>
      <w:bookmarkStart w:id="83" w:name="_Toc385841952"/>
      <w:bookmarkStart w:id="84" w:name="_Toc56326181"/>
      <w:bookmarkStart w:id="85" w:name="_Toc386126474"/>
      <w:bookmarkStart w:id="86" w:name="_Toc56325907"/>
      <w:bookmarkStart w:id="87" w:name="_Toc75636961"/>
      <w:bookmarkStart w:id="88" w:name="_Toc30841001"/>
      <w:bookmarkStart w:id="89" w:name="_Toc75637301"/>
      <w:r>
        <w:rPr>
          <w:rFonts w:ascii="Times New Roman" w:hAnsi="Times New Roman" w:eastAsia="宋体"/>
          <w:bCs w:val="0"/>
          <w:kern w:val="2"/>
          <w:sz w:val="30"/>
          <w:szCs w:val="30"/>
        </w:rPr>
        <w:t xml:space="preserve"> 技术培训</w:t>
      </w:r>
      <w:bookmarkEnd w:id="78"/>
      <w:bookmarkEnd w:id="79"/>
      <w:bookmarkEnd w:id="80"/>
    </w:p>
    <w:p>
      <w:pPr>
        <w:numPr>
          <w:ilvl w:val="0"/>
          <w:numId w:val="7"/>
        </w:numPr>
        <w:spacing w:line="360" w:lineRule="auto"/>
        <w:rPr>
          <w:sz w:val="24"/>
          <w:szCs w:val="24"/>
        </w:rPr>
      </w:pPr>
      <w:r>
        <w:rPr>
          <w:sz w:val="24"/>
          <w:szCs w:val="24"/>
        </w:rPr>
        <w:t>投标方负责免费对招标方使用的相关人员，进行技术培训</w:t>
      </w:r>
    </w:p>
    <w:p>
      <w:pPr>
        <w:numPr>
          <w:ilvl w:val="0"/>
          <w:numId w:val="7"/>
        </w:numPr>
        <w:spacing w:line="360" w:lineRule="auto"/>
        <w:rPr>
          <w:sz w:val="24"/>
          <w:szCs w:val="24"/>
        </w:rPr>
      </w:pPr>
      <w:r>
        <w:rPr>
          <w:sz w:val="24"/>
          <w:szCs w:val="24"/>
        </w:rPr>
        <w:t>可通过电话、远程协助等方式提供支持服务，指导买方技术人员诊断存在的技术问题。如果买方技术人员不能解决问题，卖方应派遣维护人员在24小时或更短的时间内派技术人员赶到现场。</w:t>
      </w:r>
    </w:p>
    <w:p>
      <w:pPr>
        <w:pStyle w:val="2"/>
        <w:ind w:left="420" w:hanging="420"/>
        <w:jc w:val="both"/>
        <w:rPr>
          <w:rFonts w:ascii="Times New Roman" w:hAnsi="Times New Roman" w:eastAsia="宋体"/>
          <w:kern w:val="2"/>
          <w:sz w:val="30"/>
          <w:szCs w:val="30"/>
        </w:rPr>
      </w:pPr>
      <w:bookmarkStart w:id="90" w:name="_Toc499194854"/>
      <w:bookmarkStart w:id="91" w:name="_Toc12054"/>
      <w:r>
        <w:rPr>
          <w:rFonts w:ascii="Times New Roman" w:hAnsi="Times New Roman" w:eastAsia="宋体"/>
          <w:kern w:val="2"/>
          <w:sz w:val="30"/>
          <w:szCs w:val="30"/>
        </w:rPr>
        <w:t xml:space="preserve"> 检查和验收</w:t>
      </w:r>
      <w:bookmarkEnd w:id="90"/>
      <w:bookmarkEnd w:id="91"/>
    </w:p>
    <w:bookmarkEnd w:id="81"/>
    <w:bookmarkEnd w:id="82"/>
    <w:bookmarkEnd w:id="83"/>
    <w:bookmarkEnd w:id="84"/>
    <w:bookmarkEnd w:id="85"/>
    <w:bookmarkEnd w:id="86"/>
    <w:bookmarkEnd w:id="87"/>
    <w:bookmarkEnd w:id="88"/>
    <w:bookmarkEnd w:id="89"/>
    <w:p>
      <w:pPr>
        <w:pStyle w:val="56"/>
        <w:ind w:firstLine="480"/>
      </w:pPr>
      <w:bookmarkStart w:id="92" w:name="_Toc203445112"/>
      <w:bookmarkStart w:id="93" w:name="_Toc203445679"/>
      <w:bookmarkStart w:id="94" w:name="_Toc203816909"/>
      <w:bookmarkStart w:id="95" w:name="_Toc203445053"/>
      <w:bookmarkStart w:id="96" w:name="_Toc7884"/>
      <w:bookmarkStart w:id="97" w:name="_Toc203445403"/>
      <w:bookmarkStart w:id="98" w:name="_Toc205743541"/>
      <w:bookmarkStart w:id="99" w:name="_Toc117301984"/>
      <w:bookmarkStart w:id="100" w:name="_Toc205744132"/>
      <w:bookmarkStart w:id="101" w:name="_Toc113096700"/>
      <w:bookmarkStart w:id="102" w:name="_Toc117436114"/>
      <w:bookmarkStart w:id="103" w:name="_Toc196725369"/>
      <w:bookmarkStart w:id="104" w:name="_Toc496812047"/>
      <w:bookmarkStart w:id="105" w:name="_Toc117486708"/>
      <w:bookmarkStart w:id="106" w:name="_Toc118174570"/>
      <w:bookmarkStart w:id="107" w:name="_Toc196725437"/>
      <w:bookmarkStart w:id="108" w:name="_Toc8557"/>
      <w:bookmarkStart w:id="109" w:name="_Toc492388080"/>
      <w:bookmarkStart w:id="110" w:name="_Toc393827373"/>
      <w:bookmarkStart w:id="111" w:name="_Toc496812052"/>
      <w:bookmarkStart w:id="112" w:name="_Toc324012261"/>
      <w:bookmarkStart w:id="113" w:name="_Toc184030631"/>
      <w:bookmarkStart w:id="114" w:name="_Toc183228810"/>
      <w:bookmarkStart w:id="115" w:name="_Toc193506917"/>
      <w:bookmarkStart w:id="116" w:name="_Toc193506863"/>
      <w:bookmarkStart w:id="117" w:name="_Toc180570022"/>
      <w:bookmarkStart w:id="118" w:name="_Toc111101919"/>
      <w:bookmarkStart w:id="119" w:name="_Toc187138158"/>
      <w:r>
        <w:t>服务到期后，服务商提交工程相关资料齐全，技术培训完成，无遗留问题前提下方可进行工程验收。</w:t>
      </w:r>
    </w:p>
    <w:p>
      <w:pPr>
        <w:pStyle w:val="2"/>
        <w:ind w:left="420" w:hanging="420"/>
        <w:jc w:val="both"/>
        <w:rPr>
          <w:rFonts w:ascii="Times New Roman" w:hAnsi="Times New Roman" w:eastAsia="宋体"/>
          <w:kern w:val="2"/>
          <w:sz w:val="30"/>
          <w:szCs w:val="30"/>
        </w:rPr>
      </w:pPr>
      <w:bookmarkStart w:id="120" w:name="_Toc499194855"/>
      <w:r>
        <w:rPr>
          <w:rFonts w:ascii="Times New Roman" w:hAnsi="Times New Roman" w:eastAsia="宋体"/>
          <w:kern w:val="2"/>
          <w:sz w:val="30"/>
          <w:szCs w:val="30"/>
        </w:rPr>
        <w:t>项目管理</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20"/>
    </w:p>
    <w:p>
      <w:pPr>
        <w:pStyle w:val="3"/>
        <w:rPr>
          <w:rFonts w:ascii="Times New Roman" w:hAnsi="Times New Roman"/>
          <w:bCs w:val="0"/>
          <w:sz w:val="24"/>
          <w:szCs w:val="24"/>
        </w:rPr>
      </w:pPr>
      <w:bookmarkStart w:id="121" w:name="_Toc492388076"/>
      <w:bookmarkStart w:id="122" w:name="_Toc496812048"/>
      <w:bookmarkStart w:id="123" w:name="_Toc21545"/>
      <w:bookmarkStart w:id="124" w:name="_Toc499194856"/>
      <w:r>
        <w:rPr>
          <w:rFonts w:ascii="Times New Roman" w:hAnsi="Times New Roman"/>
          <w:bCs w:val="0"/>
          <w:sz w:val="24"/>
          <w:szCs w:val="24"/>
        </w:rPr>
        <w:t>项目管理</w:t>
      </w:r>
      <w:bookmarkEnd w:id="121"/>
      <w:bookmarkEnd w:id="122"/>
      <w:bookmarkEnd w:id="123"/>
      <w:bookmarkEnd w:id="124"/>
    </w:p>
    <w:p>
      <w:pPr>
        <w:pStyle w:val="56"/>
        <w:ind w:firstLine="480"/>
      </w:pPr>
      <w:r>
        <w:t>每</w:t>
      </w:r>
      <w:r>
        <w:rPr>
          <w:rFonts w:hint="eastAsia"/>
        </w:rPr>
        <w:t>周</w:t>
      </w:r>
      <w:r>
        <w:t>召开项目例会，并根据项目需要不定期召开项目协调会议。</w:t>
      </w:r>
    </w:p>
    <w:p>
      <w:pPr>
        <w:pStyle w:val="3"/>
        <w:rPr>
          <w:rFonts w:ascii="Times New Roman" w:hAnsi="Times New Roman"/>
          <w:bCs w:val="0"/>
          <w:sz w:val="24"/>
          <w:szCs w:val="24"/>
        </w:rPr>
      </w:pPr>
      <w:bookmarkStart w:id="125" w:name="_Toc31238"/>
      <w:bookmarkStart w:id="126" w:name="_Toc499194857"/>
      <w:bookmarkStart w:id="127" w:name="_Toc496812050"/>
      <w:bookmarkStart w:id="128" w:name="_Toc492388078"/>
      <w:r>
        <w:rPr>
          <w:rFonts w:ascii="Times New Roman" w:hAnsi="Times New Roman"/>
          <w:bCs w:val="0"/>
          <w:sz w:val="24"/>
          <w:szCs w:val="24"/>
        </w:rPr>
        <w:t>培训需求</w:t>
      </w:r>
      <w:bookmarkEnd w:id="125"/>
      <w:bookmarkEnd w:id="126"/>
      <w:bookmarkEnd w:id="127"/>
      <w:bookmarkEnd w:id="128"/>
    </w:p>
    <w:p>
      <w:pPr>
        <w:pStyle w:val="4"/>
        <w:tabs>
          <w:tab w:val="left" w:pos="432"/>
        </w:tabs>
        <w:spacing w:before="0" w:line="360" w:lineRule="auto"/>
        <w:rPr>
          <w:sz w:val="24"/>
          <w:szCs w:val="24"/>
        </w:rPr>
      </w:pPr>
      <w:bookmarkStart w:id="129" w:name="_Toc31808"/>
      <w:bookmarkStart w:id="130" w:name="_Toc496895333"/>
      <w:bookmarkStart w:id="131" w:name="_Toc499194858"/>
      <w:r>
        <w:rPr>
          <w:sz w:val="24"/>
          <w:szCs w:val="24"/>
        </w:rPr>
        <w:t>培训的目的及要求</w:t>
      </w:r>
      <w:bookmarkEnd w:id="129"/>
      <w:bookmarkEnd w:id="130"/>
      <w:bookmarkEnd w:id="131"/>
    </w:p>
    <w:p>
      <w:pPr>
        <w:pStyle w:val="56"/>
        <w:ind w:firstLine="480"/>
      </w:pPr>
      <w:r>
        <w:t>用户培训是保证整个项目成功的重要环节之一。必须对业务方使用人员、技术人员和管理人员进行技术培训。保证系统投入运行后建设单位的信息技术人员能够承担起维护任务，能熟练地掌握相关软件维护工作，并能及时排除大部分的系统故障。</w:t>
      </w:r>
    </w:p>
    <w:p>
      <w:pPr>
        <w:pStyle w:val="4"/>
        <w:tabs>
          <w:tab w:val="left" w:pos="432"/>
        </w:tabs>
        <w:spacing w:before="0" w:line="360" w:lineRule="auto"/>
        <w:rPr>
          <w:sz w:val="24"/>
          <w:szCs w:val="24"/>
        </w:rPr>
      </w:pPr>
      <w:bookmarkStart w:id="132" w:name="_Toc499194859"/>
      <w:bookmarkStart w:id="133" w:name="_Toc496895334"/>
      <w:bookmarkStart w:id="134" w:name="_Toc2325"/>
      <w:r>
        <w:rPr>
          <w:sz w:val="24"/>
          <w:szCs w:val="24"/>
        </w:rPr>
        <w:t>培训方式</w:t>
      </w:r>
      <w:bookmarkEnd w:id="132"/>
      <w:bookmarkEnd w:id="133"/>
      <w:bookmarkEnd w:id="134"/>
    </w:p>
    <w:p>
      <w:pPr>
        <w:pStyle w:val="56"/>
        <w:ind w:firstLine="480"/>
      </w:pPr>
      <w:r>
        <w:t>组织最终用户、业务人员的不同层次培训，制定切实有效的培训计划，提供完整的培训资料和教材，在上线运行测试阶段可采取定点支持的方式，确保项目实施完成之后，用户对系统功能有清晰认识，保证正常工作的使用。</w:t>
      </w:r>
    </w:p>
    <w:p>
      <w:pPr>
        <w:pStyle w:val="4"/>
        <w:tabs>
          <w:tab w:val="left" w:pos="432"/>
        </w:tabs>
        <w:spacing w:before="0" w:line="360" w:lineRule="auto"/>
        <w:rPr>
          <w:sz w:val="24"/>
          <w:szCs w:val="24"/>
        </w:rPr>
      </w:pPr>
      <w:bookmarkStart w:id="135" w:name="_Toc496895335"/>
      <w:bookmarkStart w:id="136" w:name="_Toc6973"/>
      <w:bookmarkStart w:id="137" w:name="_Toc499194860"/>
      <w:r>
        <w:rPr>
          <w:sz w:val="24"/>
          <w:szCs w:val="24"/>
        </w:rPr>
        <w:t>培训内容</w:t>
      </w:r>
      <w:bookmarkEnd w:id="135"/>
      <w:bookmarkEnd w:id="136"/>
      <w:bookmarkEnd w:id="137"/>
    </w:p>
    <w:p>
      <w:pPr>
        <w:pStyle w:val="56"/>
        <w:ind w:firstLine="480"/>
      </w:pPr>
      <w:r>
        <w:t>对项目单位的最终用户进行培训和知识转移，使项目单位相关人员了解系统的操作方法，确保系统正确地应用操作和运行维护。</w:t>
      </w:r>
    </w:p>
    <w:p>
      <w:pPr>
        <w:pStyle w:val="3"/>
        <w:rPr>
          <w:rFonts w:ascii="Times New Roman" w:hAnsi="Times New Roman"/>
          <w:bCs w:val="0"/>
          <w:sz w:val="24"/>
          <w:szCs w:val="24"/>
        </w:rPr>
      </w:pPr>
      <w:bookmarkStart w:id="138" w:name="_Toc499194861"/>
      <w:bookmarkStart w:id="139" w:name="_Toc339370930"/>
      <w:bookmarkStart w:id="140" w:name="_Toc8512"/>
      <w:bookmarkStart w:id="141" w:name="_Toc496812051"/>
      <w:bookmarkStart w:id="142" w:name="_Toc492388079"/>
      <w:bookmarkStart w:id="143" w:name="_Toc339371092"/>
      <w:bookmarkStart w:id="144" w:name="_Toc5814"/>
      <w:r>
        <w:rPr>
          <w:rFonts w:ascii="Times New Roman" w:hAnsi="Times New Roman"/>
          <w:bCs w:val="0"/>
          <w:sz w:val="24"/>
          <w:szCs w:val="24"/>
        </w:rPr>
        <w:t>质量管理</w:t>
      </w:r>
      <w:bookmarkEnd w:id="138"/>
      <w:bookmarkEnd w:id="139"/>
      <w:bookmarkEnd w:id="140"/>
      <w:bookmarkEnd w:id="141"/>
      <w:bookmarkEnd w:id="142"/>
      <w:bookmarkEnd w:id="143"/>
      <w:bookmarkEnd w:id="144"/>
    </w:p>
    <w:p>
      <w:pPr>
        <w:pStyle w:val="56"/>
        <w:ind w:firstLine="480"/>
      </w:pPr>
      <w:r>
        <w:t>主要有以下几点重点质量保障原则：</w:t>
      </w:r>
    </w:p>
    <w:p>
      <w:pPr>
        <w:pStyle w:val="56"/>
        <w:ind w:firstLine="480"/>
      </w:pPr>
      <w:r>
        <w:t>确保不发生违规操作的现象：对于投标方实施团队中出现的违规操作行为进行严格考核，如出现违规操作，将依据影响度对当事人进行通报批评、辞退等相应处理。</w:t>
      </w:r>
    </w:p>
    <w:p>
      <w:pPr>
        <w:pStyle w:val="56"/>
        <w:ind w:firstLine="480"/>
      </w:pPr>
      <w:r>
        <w:t>确保人员稳定：投标方实施团队如有人员调动情况，按照招标方要求的流程进行人员调换，保障项目实施工作的稳定推进。</w:t>
      </w:r>
    </w:p>
    <w:p>
      <w:pPr>
        <w:pStyle w:val="2"/>
        <w:ind w:left="420" w:hanging="420"/>
        <w:rPr>
          <w:rFonts w:ascii="Times New Roman" w:hAnsi="Times New Roman" w:eastAsia="宋体"/>
          <w:bCs w:val="0"/>
          <w:kern w:val="2"/>
          <w:sz w:val="24"/>
          <w:szCs w:val="24"/>
        </w:rPr>
      </w:pPr>
      <w:bookmarkStart w:id="145" w:name="_Toc499194862"/>
      <w:r>
        <w:rPr>
          <w:rFonts w:ascii="Times New Roman" w:hAnsi="Times New Roman" w:eastAsia="宋体"/>
          <w:bCs w:val="0"/>
          <w:kern w:val="2"/>
          <w:sz w:val="24"/>
          <w:szCs w:val="24"/>
        </w:rPr>
        <w:t xml:space="preserve"> 保密条款</w:t>
      </w:r>
      <w:bookmarkEnd w:id="108"/>
      <w:bookmarkEnd w:id="109"/>
      <w:bookmarkEnd w:id="110"/>
      <w:bookmarkEnd w:id="111"/>
      <w:bookmarkEnd w:id="112"/>
      <w:bookmarkEnd w:id="145"/>
    </w:p>
    <w:p>
      <w:pPr>
        <w:pStyle w:val="56"/>
        <w:ind w:firstLine="0" w:firstLineChars="0"/>
      </w:pPr>
      <w:r>
        <w:rPr>
          <w:rFonts w:hint="eastAsia"/>
        </w:rPr>
        <w:t>6</w:t>
      </w:r>
      <w:r>
        <w:t>.1投标方对在工作过程中接触到的招标方的任何资料、文件、数据（无论是书面的还是电子的），以及对为招标方服务形成的任何交付物，负有为招标方保密的责任。未经招标方书面同意，投标方不得以任何方式向任何第三方提供或透露。</w:t>
      </w:r>
    </w:p>
    <w:p>
      <w:pPr>
        <w:pStyle w:val="56"/>
        <w:ind w:firstLine="0" w:firstLineChars="0"/>
      </w:pPr>
      <w:r>
        <w:rPr>
          <w:rFonts w:hint="eastAsia"/>
        </w:rPr>
        <w:t>6</w:t>
      </w:r>
      <w:r>
        <w:t>.2招标方向投标方提供的任何资料、文件和信息，在投标方服务结束后，投标方均应及时归还招标方，电子文档的应从自己的电脑等存储设备上予永久删除。</w:t>
      </w:r>
    </w:p>
    <w:p>
      <w:pPr>
        <w:pStyle w:val="56"/>
        <w:ind w:firstLine="0" w:firstLineChars="0"/>
      </w:pPr>
      <w:r>
        <w:rPr>
          <w:rFonts w:hint="eastAsia"/>
        </w:rPr>
        <w:t>6</w:t>
      </w:r>
      <w:r>
        <w:t>.3投标方人员违反上述保密规定时间，投标方应承担相应法律责任。</w:t>
      </w:r>
    </w:p>
    <w:p>
      <w:pPr>
        <w:pStyle w:val="2"/>
        <w:ind w:left="420" w:hanging="420"/>
        <w:rPr>
          <w:rFonts w:ascii="Times New Roman" w:hAnsi="Times New Roman" w:eastAsia="宋体"/>
          <w:bCs w:val="0"/>
          <w:kern w:val="2"/>
          <w:sz w:val="24"/>
          <w:szCs w:val="24"/>
        </w:rPr>
      </w:pPr>
      <w:bookmarkStart w:id="146" w:name="_Toc496812053"/>
      <w:bookmarkStart w:id="147" w:name="_Toc499194863"/>
      <w:bookmarkStart w:id="148" w:name="_Toc492388081"/>
      <w:bookmarkStart w:id="149" w:name="_Toc393827374"/>
      <w:bookmarkStart w:id="150" w:name="_Toc14686"/>
      <w:bookmarkStart w:id="151" w:name="_Toc324012262"/>
      <w:r>
        <w:rPr>
          <w:rFonts w:ascii="Times New Roman" w:hAnsi="Times New Roman" w:eastAsia="宋体"/>
          <w:bCs w:val="0"/>
          <w:kern w:val="2"/>
          <w:sz w:val="24"/>
          <w:szCs w:val="24"/>
        </w:rPr>
        <w:t xml:space="preserve"> 知识产权</w:t>
      </w:r>
      <w:bookmarkEnd w:id="146"/>
      <w:bookmarkEnd w:id="147"/>
      <w:bookmarkEnd w:id="148"/>
      <w:bookmarkEnd w:id="149"/>
      <w:bookmarkEnd w:id="150"/>
      <w:bookmarkEnd w:id="151"/>
    </w:p>
    <w:p>
      <w:pPr>
        <w:pStyle w:val="56"/>
        <w:ind w:firstLine="0" w:firstLineChars="0"/>
      </w:pPr>
      <w:r>
        <w:rPr>
          <w:rFonts w:hint="eastAsia"/>
        </w:rPr>
        <w:t>7</w:t>
      </w:r>
      <w:r>
        <w:t>.1招标方拥有本项目涉及的所有成果的知识产权和专利权。项目完成后，投标方对于该项目中的产品应严格保密，任何形式的使用、转让等必须得到招标方的许可。</w:t>
      </w:r>
    </w:p>
    <w:p>
      <w:pPr>
        <w:pStyle w:val="56"/>
        <w:ind w:firstLine="0" w:firstLineChars="0"/>
      </w:pPr>
      <w:r>
        <w:rPr>
          <w:rFonts w:hint="eastAsia"/>
        </w:rPr>
        <w:t>7</w:t>
      </w:r>
      <w:r>
        <w:t>.2投标方在项目进行过程中涉及第三方产品，若出现技术、经济或法律上的纠纷，应由投标方全面承担并全权解决，确保不影响工程的进度。</w:t>
      </w:r>
    </w:p>
    <w:p>
      <w:pPr>
        <w:pStyle w:val="2"/>
        <w:ind w:left="420" w:hanging="420"/>
        <w:rPr>
          <w:rFonts w:ascii="Times New Roman" w:hAnsi="Times New Roman" w:eastAsia="宋体"/>
          <w:bCs w:val="0"/>
          <w:kern w:val="2"/>
          <w:sz w:val="24"/>
          <w:szCs w:val="24"/>
        </w:rPr>
      </w:pPr>
      <w:bookmarkStart w:id="152" w:name="_Toc496812054"/>
      <w:bookmarkStart w:id="153" w:name="_Toc485994348"/>
      <w:bookmarkStart w:id="154" w:name="_Toc499194864"/>
      <w:bookmarkStart w:id="155" w:name="_Toc492388082"/>
      <w:r>
        <w:rPr>
          <w:rFonts w:ascii="Times New Roman" w:hAnsi="Times New Roman" w:eastAsia="宋体"/>
          <w:bCs w:val="0"/>
          <w:kern w:val="2"/>
          <w:sz w:val="24"/>
          <w:szCs w:val="24"/>
        </w:rPr>
        <w:t xml:space="preserve"> 其它要求</w:t>
      </w:r>
      <w:bookmarkEnd w:id="152"/>
      <w:bookmarkEnd w:id="153"/>
      <w:bookmarkEnd w:id="154"/>
      <w:bookmarkEnd w:id="155"/>
    </w:p>
    <w:p>
      <w:pPr>
        <w:pStyle w:val="56"/>
        <w:ind w:firstLine="0" w:firstLineChars="0"/>
      </w:pPr>
      <w:r>
        <w:rPr>
          <w:rFonts w:hint="eastAsia"/>
        </w:rPr>
        <w:t>8</w:t>
      </w:r>
      <w:r>
        <w:t>.1投标方需要介绍自己公司的背景情况。</w:t>
      </w:r>
    </w:p>
    <w:p>
      <w:pPr>
        <w:pStyle w:val="56"/>
        <w:ind w:firstLine="0" w:firstLineChars="0"/>
      </w:pPr>
      <w:r>
        <w:rPr>
          <w:rFonts w:hint="eastAsia"/>
        </w:rPr>
        <w:t>8</w:t>
      </w:r>
      <w:r>
        <w:t>.2本采购文件未提到的而投标方提供的其他内容，投标方应详细说明，并用差异表的格式进行标注。在引用本技术规范未提到的标准时，请投标方注明引用依据。采购人与投标方在解释某一标准有不同意见时,采购人的解释是最终解释。</w:t>
      </w:r>
    </w:p>
    <w:p>
      <w:pPr>
        <w:pStyle w:val="56"/>
        <w:ind w:firstLine="0" w:firstLineChars="0"/>
      </w:pPr>
      <w:r>
        <w:rPr>
          <w:rFonts w:hint="eastAsia"/>
        </w:rPr>
        <w:t>8</w:t>
      </w:r>
      <w:r>
        <w:t>.3对于本技术规范书的某些部分投标方如不能满足要求或与采购人的技术要求有差异, 应在技术建议书中以差异表的形式提出说明, 否则采购人认为投标方提供的系统、方案或进度可以满足本技术规范书的要求。</w:t>
      </w:r>
    </w:p>
    <w:bookmarkEnd w:id="113"/>
    <w:bookmarkEnd w:id="114"/>
    <w:bookmarkEnd w:id="115"/>
    <w:bookmarkEnd w:id="116"/>
    <w:bookmarkEnd w:id="117"/>
    <w:bookmarkEnd w:id="118"/>
    <w:bookmarkEnd w:id="119"/>
    <w:p>
      <w:pPr>
        <w:pStyle w:val="2"/>
        <w:ind w:left="420" w:hanging="420"/>
        <w:rPr>
          <w:rFonts w:ascii="Times New Roman" w:hAnsi="Times New Roman" w:eastAsia="宋体"/>
          <w:bCs w:val="0"/>
          <w:kern w:val="2"/>
          <w:sz w:val="24"/>
          <w:szCs w:val="24"/>
        </w:rPr>
      </w:pPr>
      <w:bookmarkStart w:id="156" w:name="_Toc385841953"/>
      <w:bookmarkStart w:id="157" w:name="_Toc499194865"/>
      <w:bookmarkStart w:id="158" w:name="_Toc386126475"/>
      <w:bookmarkStart w:id="159" w:name="_Toc30247"/>
      <w:r>
        <w:rPr>
          <w:rFonts w:ascii="Times New Roman" w:hAnsi="Times New Roman" w:eastAsia="宋体"/>
          <w:bCs w:val="0"/>
          <w:kern w:val="2"/>
          <w:sz w:val="24"/>
          <w:szCs w:val="24"/>
        </w:rPr>
        <w:t xml:space="preserve"> 售后服务与技术支持</w:t>
      </w:r>
      <w:bookmarkEnd w:id="156"/>
      <w:bookmarkEnd w:id="157"/>
      <w:bookmarkEnd w:id="158"/>
      <w:bookmarkEnd w:id="159"/>
    </w:p>
    <w:p>
      <w:pPr>
        <w:tabs>
          <w:tab w:val="left" w:pos="315"/>
          <w:tab w:val="left" w:pos="420"/>
          <w:tab w:val="left" w:pos="735"/>
          <w:tab w:val="left" w:pos="945"/>
          <w:tab w:val="left" w:pos="1155"/>
        </w:tabs>
        <w:spacing w:line="360" w:lineRule="auto"/>
        <w:rPr>
          <w:sz w:val="24"/>
          <w:szCs w:val="24"/>
        </w:rPr>
      </w:pPr>
      <w:r>
        <w:rPr>
          <w:sz w:val="24"/>
          <w:szCs w:val="24"/>
        </w:rPr>
        <w:tab/>
      </w:r>
      <w:r>
        <w:rPr>
          <w:sz w:val="24"/>
          <w:szCs w:val="24"/>
        </w:rPr>
        <w:tab/>
      </w:r>
      <w:r>
        <w:rPr>
          <w:sz w:val="24"/>
          <w:szCs w:val="24"/>
        </w:rPr>
        <w:tab/>
      </w:r>
      <w:r>
        <w:rPr>
          <w:sz w:val="24"/>
          <w:szCs w:val="24"/>
        </w:rPr>
        <w:t>售后服务及维护保养。保证期为1年，自合同签订之日算起。质保期内卖方负责提供免费7</w:t>
      </w:r>
      <w:r>
        <w:rPr>
          <w:rFonts w:hint="eastAsia"/>
          <w:sz w:val="24"/>
          <w:szCs w:val="24"/>
        </w:rPr>
        <w:t>*</w:t>
      </w:r>
      <w:r>
        <w:rPr>
          <w:sz w:val="24"/>
          <w:szCs w:val="24"/>
        </w:rPr>
        <w:t>24小时报修服务，故障后到达维修现场的时间为</w:t>
      </w:r>
      <w:r>
        <w:rPr>
          <w:rFonts w:hint="eastAsia"/>
          <w:sz w:val="24"/>
          <w:szCs w:val="24"/>
        </w:rPr>
        <w:t>24</w:t>
      </w:r>
      <w:r>
        <w:rPr>
          <w:sz w:val="24"/>
          <w:szCs w:val="24"/>
        </w:rPr>
        <w:t>小时以内。</w:t>
      </w:r>
    </w:p>
    <w:p>
      <w:pPr>
        <w:adjustRightInd w:val="0"/>
        <w:snapToGrid w:val="0"/>
        <w:spacing w:line="360" w:lineRule="auto"/>
        <w:jc w:val="center"/>
        <w:rPr>
          <w:rFonts w:ascii="宋体" w:hAnsi="宋体" w:eastAsia="宋体" w:cs="宋体"/>
          <w:sz w:val="24"/>
          <w:szCs w:val="24"/>
        </w:rPr>
      </w:pPr>
    </w:p>
    <w:p>
      <w:pPr>
        <w:tabs>
          <w:tab w:val="left" w:pos="1213"/>
        </w:tabs>
      </w:pPr>
    </w:p>
    <w:sectPr>
      <w:footerReference r:id="rId9"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Wingdings 2">
    <w:altName w:val="Wingdings"/>
    <w:panose1 w:val="050201020105070707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33985" cy="153035"/>
              <wp:effectExtent l="0" t="0" r="0" b="0"/>
              <wp:wrapNone/>
              <wp:docPr id="2" name="文本框 2"/>
              <wp:cNvGraphicFramePr/>
              <a:graphic xmlns:a="http://schemas.openxmlformats.org/drawingml/2006/main">
                <a:graphicData uri="http://schemas.microsoft.com/office/word/2010/wordprocessingShape">
                  <wps:wsp>
                    <wps:cNvSpPr txBox="1"/>
                    <wps:spPr>
                      <a:xfrm>
                        <a:off x="0" y="0"/>
                        <a:ext cx="133985" cy="153035"/>
                      </a:xfrm>
                      <a:prstGeom prst="rect">
                        <a:avLst/>
                      </a:prstGeom>
                      <a:noFill/>
                      <a:ln w="9525">
                        <a:noFill/>
                      </a:ln>
                    </wps:spPr>
                    <wps:txbx>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2</w:t>
                          </w:r>
                          <w:r>
                            <w:rPr>
                              <w:rFonts w:hint="eastAsia"/>
                              <w:sz w:val="18"/>
                            </w:rP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2.05pt;width:10.55pt;mso-position-horizontal:center;mso-position-horizontal-relative:margin;mso-wrap-style:none;z-index:251658240;mso-width-relative:page;mso-height-relative:page;" filled="f" stroked="f" coordsize="21600,21600" o:gfxdata="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">
              <v:fill on="f" focussize="0,0"/>
              <v:stroke on="f"/>
              <v:imagedata o:title=""/>
              <o:lock v:ext="edit" aspectratio="f"/>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2</w:t>
                    </w:r>
                    <w:r>
                      <w:rPr>
                        <w:rFonts w:hint="eastAsia"/>
                        <w:sz w:val="18"/>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framePr w:wrap="around" w:vAnchor="text" w:hAnchor="margin" w:xAlign="center" w:y="1"/>
      <w:ind w:left="2200"/>
    </w:pPr>
    <w:r>
      <w:fldChar w:fldCharType="begin"/>
    </w:r>
    <w:r>
      <w:instrText xml:space="preserve">PAGE  </w:instrText>
    </w:r>
    <w:r>
      <w:fldChar w:fldCharType="separate"/>
    </w:r>
    <w:r>
      <w:t>1</w:t>
    </w:r>
    <w:r>
      <w:fldChar w:fldCharType="end"/>
    </w:r>
  </w:p>
  <w:p>
    <w:pPr>
      <w:pStyle w:val="17"/>
      <w:ind w:left="220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14935" cy="131445"/>
              <wp:effectExtent l="0" t="0" r="0" b="0"/>
              <wp:wrapNone/>
              <wp:docPr id="1" name="文本框 1"/>
              <wp:cNvGraphicFramePr/>
              <a:graphic xmlns:a="http://schemas.openxmlformats.org/drawingml/2006/main">
                <a:graphicData uri="http://schemas.microsoft.com/office/word/2010/wordprocessingShape">
                  <wps:wsp>
                    <wps:cNvSpPr txBox="1"/>
                    <wps:spPr>
                      <a:xfrm>
                        <a:off x="0" y="0"/>
                        <a:ext cx="114935" cy="131445"/>
                      </a:xfrm>
                      <a:prstGeom prst="rect">
                        <a:avLst/>
                      </a:prstGeom>
                      <a:noFill/>
                      <a:ln w="9525">
                        <a:noFill/>
                      </a:ln>
                    </wps:spPr>
                    <wps:txbx>
                      <w:txbxContent>
                        <w:p>
                          <w:pPr>
                            <w:snapToGrid w:val="0"/>
                            <w:rPr>
                              <w:sz w:val="18"/>
                            </w:rPr>
                          </w:pPr>
                        </w:p>
                      </w:txbxContent>
                    </wps:txbx>
                    <wps:bodyPr wrap="none" lIns="0" tIns="0" rIns="0" bIns="0">
                      <a:spAutoFit/>
                    </wps:bodyPr>
                  </wps:wsp>
                </a:graphicData>
              </a:graphic>
            </wp:anchor>
          </w:drawing>
        </mc:Choice>
        <mc:Fallback>
          <w:pict>
            <v:shape id="_x0000_s1026" o:spid="_x0000_s1026" o:spt="202" type="#_x0000_t202" style="position:absolute;left:0pt;margin-top:0pt;height:10.35pt;width:9.05pt;mso-position-horizontal:center;mso-position-horizontal-relative:margin;mso-wrap-style:none;z-index:251659264;mso-width-relative:page;mso-height-relative:page;" filled="f" stroked="f" coordsize="21600,21600" o:gfxdata="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">
              <v:fill on="f" focussize="0,0"/>
              <v:stroke on="f"/>
              <v:imagedata o:title=""/>
              <o:lock v:ext="edit" aspectratio="f"/>
              <v:textbox inset="0mm,0mm,0mm,0mm" style="mso-fit-shape-to-text:t;">
                <w:txbxContent>
                  <w:p>
                    <w:pPr>
                      <w:snapToGrid w:val="0"/>
                      <w:rPr>
                        <w:sz w:val="18"/>
                      </w:rPr>
                    </w:pP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67310" cy="153035"/>
              <wp:effectExtent l="0" t="0" r="0" b="0"/>
              <wp:wrapNone/>
              <wp:docPr id="3" name="文本框 3"/>
              <wp:cNvGraphicFramePr/>
              <a:graphic xmlns:a="http://schemas.openxmlformats.org/drawingml/2006/main">
                <a:graphicData uri="http://schemas.microsoft.com/office/word/2010/wordprocessingShape">
                  <wps:wsp>
                    <wps:cNvSpPr txBox="1"/>
                    <wps:spPr>
                      <a:xfrm>
                        <a:off x="0" y="0"/>
                        <a:ext cx="67310" cy="153035"/>
                      </a:xfrm>
                      <a:prstGeom prst="rect">
                        <a:avLst/>
                      </a:prstGeom>
                      <a:noFill/>
                      <a:ln w="9525">
                        <a:noFill/>
                      </a:ln>
                    </wps:spPr>
                    <wps:txbx>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1</w:t>
                          </w:r>
                          <w:r>
                            <w:rPr>
                              <w:rFonts w:hint="eastAsia"/>
                              <w:sz w:val="18"/>
                            </w:rP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2.05pt;width:5.3pt;mso-position-horizontal:center;mso-position-horizontal-relative:margin;mso-wrap-style:none;z-index:251660288;mso-width-relative:page;mso-height-relative:page;" filled="f" stroked="f" coordsize="21600,21600" o:gfxdata="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">
              <v:fill on="f" focussize="0,0"/>
              <v:stroke on="f"/>
              <v:imagedata o:title=""/>
              <o:lock v:ext="edit" aspectratio="f"/>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1</w:t>
                    </w:r>
                    <w:r>
                      <w:rPr>
                        <w:rFonts w:hint="eastAsia"/>
                        <w:sz w:val="18"/>
                      </w:rP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78521350"/>
    </w:sdtPr>
    <w:sdtContent>
      <w:p>
        <w:pPr>
          <w:pStyle w:val="13"/>
          <w:jc w:val="center"/>
        </w:pPr>
        <w:r>
          <w:fldChar w:fldCharType="begin"/>
        </w:r>
        <w:r>
          <w:instrText xml:space="preserve">PAGE   \* MERGEFORMAT</w:instrText>
        </w:r>
        <w:r>
          <w:fldChar w:fldCharType="separate"/>
        </w:r>
        <w:r>
          <w:rPr>
            <w:lang w:val="zh-CN"/>
          </w:rPr>
          <w:t>10</w:t>
        </w:r>
        <w: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360" w:lineRule="auto"/>
      <w:rPr>
        <w:rFonts w:ascii="宋体" w:hAnsi="宋体"/>
        <w:sz w:val="15"/>
        <w:szCs w:val="15"/>
        <w:u w:val="single"/>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D"/>
    <w:multiLevelType w:val="multilevel"/>
    <w:tmpl w:val="0000000D"/>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295B475E"/>
    <w:multiLevelType w:val="multilevel"/>
    <w:tmpl w:val="295B475E"/>
    <w:lvl w:ilvl="0" w:tentative="0">
      <w:start w:val="1"/>
      <w:numFmt w:val="lowerLetter"/>
      <w:lvlText w:val="%1)"/>
      <w:lvlJc w:val="left"/>
      <w:pPr>
        <w:ind w:left="1256" w:hanging="420"/>
      </w:pPr>
      <w:rPr>
        <w:rFonts w:hint="eastAsia"/>
        <w:sz w:val="22"/>
      </w:rPr>
    </w:lvl>
    <w:lvl w:ilvl="1" w:tentative="0">
      <w:start w:val="1"/>
      <w:numFmt w:val="lowerLetter"/>
      <w:lvlText w:val="%2)"/>
      <w:lvlJc w:val="left"/>
      <w:pPr>
        <w:ind w:left="1676" w:hanging="420"/>
      </w:pPr>
    </w:lvl>
    <w:lvl w:ilvl="2" w:tentative="0">
      <w:start w:val="1"/>
      <w:numFmt w:val="lowerRoman"/>
      <w:lvlText w:val="%3."/>
      <w:lvlJc w:val="right"/>
      <w:pPr>
        <w:ind w:left="2096" w:hanging="420"/>
      </w:pPr>
    </w:lvl>
    <w:lvl w:ilvl="3" w:tentative="0">
      <w:start w:val="1"/>
      <w:numFmt w:val="decimal"/>
      <w:lvlText w:val="%4."/>
      <w:lvlJc w:val="left"/>
      <w:pPr>
        <w:ind w:left="2516" w:hanging="420"/>
      </w:pPr>
    </w:lvl>
    <w:lvl w:ilvl="4" w:tentative="0">
      <w:start w:val="1"/>
      <w:numFmt w:val="lowerLetter"/>
      <w:lvlText w:val="%5)"/>
      <w:lvlJc w:val="left"/>
      <w:pPr>
        <w:ind w:left="2936" w:hanging="420"/>
      </w:pPr>
    </w:lvl>
    <w:lvl w:ilvl="5" w:tentative="0">
      <w:start w:val="1"/>
      <w:numFmt w:val="lowerRoman"/>
      <w:lvlText w:val="%6."/>
      <w:lvlJc w:val="right"/>
      <w:pPr>
        <w:ind w:left="3356" w:hanging="420"/>
      </w:pPr>
    </w:lvl>
    <w:lvl w:ilvl="6" w:tentative="0">
      <w:start w:val="1"/>
      <w:numFmt w:val="decimal"/>
      <w:lvlText w:val="%7."/>
      <w:lvlJc w:val="left"/>
      <w:pPr>
        <w:ind w:left="3776" w:hanging="420"/>
      </w:pPr>
    </w:lvl>
    <w:lvl w:ilvl="7" w:tentative="0">
      <w:start w:val="1"/>
      <w:numFmt w:val="lowerLetter"/>
      <w:lvlText w:val="%8)"/>
      <w:lvlJc w:val="left"/>
      <w:pPr>
        <w:ind w:left="4196" w:hanging="420"/>
      </w:pPr>
    </w:lvl>
    <w:lvl w:ilvl="8" w:tentative="0">
      <w:start w:val="1"/>
      <w:numFmt w:val="lowerRoman"/>
      <w:lvlText w:val="%9."/>
      <w:lvlJc w:val="right"/>
      <w:pPr>
        <w:ind w:left="4616" w:hanging="420"/>
      </w:pPr>
    </w:lvl>
  </w:abstractNum>
  <w:abstractNum w:abstractNumId="2">
    <w:nsid w:val="2BE8103C"/>
    <w:multiLevelType w:val="multilevel"/>
    <w:tmpl w:val="2BE8103C"/>
    <w:lvl w:ilvl="0" w:tentative="0">
      <w:start w:val="1"/>
      <w:numFmt w:val="decimal"/>
      <w:lvlText w:val="（%1）"/>
      <w:lvlJc w:val="left"/>
      <w:pPr>
        <w:ind w:left="420" w:hanging="420"/>
      </w:pPr>
      <w:rPr>
        <w:rFonts w:hint="eastAsia"/>
        <w:sz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5A007392"/>
    <w:multiLevelType w:val="multilevel"/>
    <w:tmpl w:val="5A007392"/>
    <w:lvl w:ilvl="0" w:tentative="0">
      <w:start w:val="1"/>
      <w:numFmt w:val="decimal"/>
      <w:lvlText w:val="%1)"/>
      <w:lvlJc w:val="left"/>
      <w:pPr>
        <w:ind w:left="1260" w:hanging="420"/>
      </w:pPr>
      <w:rPr>
        <w:rFonts w:hint="eastAsia"/>
        <w:sz w:val="22"/>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4">
    <w:nsid w:val="6CFF0F82"/>
    <w:multiLevelType w:val="singleLevel"/>
    <w:tmpl w:val="6CFF0F82"/>
    <w:lvl w:ilvl="0" w:tentative="0">
      <w:start w:val="1"/>
      <w:numFmt w:val="decimal"/>
      <w:lvlText w:val="%1."/>
      <w:lvlJc w:val="left"/>
      <w:pPr>
        <w:ind w:left="425" w:hanging="425"/>
      </w:pPr>
      <w:rPr>
        <w:rFonts w:hint="default"/>
      </w:rPr>
    </w:lvl>
  </w:abstractNum>
  <w:abstractNum w:abstractNumId="5">
    <w:nsid w:val="70EE1CAD"/>
    <w:multiLevelType w:val="multilevel"/>
    <w:tmpl w:val="70EE1CAD"/>
    <w:lvl w:ilvl="0" w:tentative="0">
      <w:start w:val="1"/>
      <w:numFmt w:val="decimal"/>
      <w:lvlText w:val="（%1）"/>
      <w:lvlJc w:val="left"/>
      <w:pPr>
        <w:ind w:left="420" w:hanging="420"/>
      </w:pPr>
      <w:rPr>
        <w:rFonts w:hint="eastAsia"/>
        <w:sz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71581711"/>
    <w:multiLevelType w:val="multilevel"/>
    <w:tmpl w:val="71581711"/>
    <w:lvl w:ilvl="0" w:tentative="0">
      <w:start w:val="1"/>
      <w:numFmt w:val="decimal"/>
      <w:pStyle w:val="2"/>
      <w:lvlText w:val="%1"/>
      <w:lvlJc w:val="left"/>
      <w:pPr>
        <w:ind w:left="425" w:hanging="425"/>
      </w:pPr>
      <w:rPr>
        <w:lang w:eastAsia="zh-CN"/>
      </w:rPr>
    </w:lvl>
    <w:lvl w:ilvl="1" w:tentative="0">
      <w:start w:val="1"/>
      <w:numFmt w:val="decimal"/>
      <w:pStyle w:val="3"/>
      <w:lvlText w:val="%1.%2"/>
      <w:lvlJc w:val="left"/>
      <w:pPr>
        <w:ind w:left="787" w:hanging="567"/>
      </w:pPr>
    </w:lvl>
    <w:lvl w:ilvl="2" w:tentative="0">
      <w:start w:val="1"/>
      <w:numFmt w:val="decimal"/>
      <w:pStyle w:val="4"/>
      <w:lvlText w:val="%1.%2.%3"/>
      <w:lvlJc w:val="left"/>
      <w:pPr>
        <w:ind w:left="1417" w:hanging="567"/>
      </w:pPr>
    </w:lvl>
    <w:lvl w:ilvl="3" w:tentative="0">
      <w:start w:val="1"/>
      <w:numFmt w:val="decimal"/>
      <w:pStyle w:val="5"/>
      <w:lvlText w:val="%1.%2.%3.%4"/>
      <w:lvlJc w:val="left"/>
      <w:pPr>
        <w:ind w:left="1984" w:hanging="708"/>
      </w:pPr>
    </w:lvl>
    <w:lvl w:ilvl="4" w:tentative="0">
      <w:start w:val="1"/>
      <w:numFmt w:val="decimal"/>
      <w:pStyle w:val="6"/>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6"/>
  </w:num>
  <w:num w:numId="2">
    <w:abstractNumId w:val="4"/>
  </w:num>
  <w:num w:numId="3">
    <w:abstractNumId w:val="2"/>
  </w:num>
  <w:num w:numId="4">
    <w:abstractNumId w:val="3"/>
  </w:num>
  <w:num w:numId="5">
    <w:abstractNumId w:val="1"/>
  </w:num>
  <w:num w:numId="6">
    <w:abstractNumId w:val="5"/>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1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3AED"/>
    <w:rsid w:val="000015D2"/>
    <w:rsid w:val="0000219E"/>
    <w:rsid w:val="000044C8"/>
    <w:rsid w:val="00006E5D"/>
    <w:rsid w:val="00010FC5"/>
    <w:rsid w:val="00011996"/>
    <w:rsid w:val="00011BBD"/>
    <w:rsid w:val="00011CE9"/>
    <w:rsid w:val="00013483"/>
    <w:rsid w:val="0001442A"/>
    <w:rsid w:val="00015AD2"/>
    <w:rsid w:val="00016888"/>
    <w:rsid w:val="00016BE0"/>
    <w:rsid w:val="000213FE"/>
    <w:rsid w:val="00023171"/>
    <w:rsid w:val="00024F1C"/>
    <w:rsid w:val="00024FBD"/>
    <w:rsid w:val="00025961"/>
    <w:rsid w:val="0003065F"/>
    <w:rsid w:val="000309B5"/>
    <w:rsid w:val="0003203C"/>
    <w:rsid w:val="000333F2"/>
    <w:rsid w:val="00033BD1"/>
    <w:rsid w:val="0003492E"/>
    <w:rsid w:val="0003578D"/>
    <w:rsid w:val="000359D9"/>
    <w:rsid w:val="00035B69"/>
    <w:rsid w:val="00035EC4"/>
    <w:rsid w:val="00036E62"/>
    <w:rsid w:val="00036F7B"/>
    <w:rsid w:val="00037997"/>
    <w:rsid w:val="00037ADF"/>
    <w:rsid w:val="00040C60"/>
    <w:rsid w:val="0004595E"/>
    <w:rsid w:val="00047BDC"/>
    <w:rsid w:val="000576CA"/>
    <w:rsid w:val="00057B64"/>
    <w:rsid w:val="00062159"/>
    <w:rsid w:val="00062813"/>
    <w:rsid w:val="000638F7"/>
    <w:rsid w:val="000649AE"/>
    <w:rsid w:val="00074961"/>
    <w:rsid w:val="00076E0D"/>
    <w:rsid w:val="000803F0"/>
    <w:rsid w:val="00080576"/>
    <w:rsid w:val="000808FF"/>
    <w:rsid w:val="0008394D"/>
    <w:rsid w:val="000848BD"/>
    <w:rsid w:val="00084F8D"/>
    <w:rsid w:val="00085008"/>
    <w:rsid w:val="000854F6"/>
    <w:rsid w:val="0008684C"/>
    <w:rsid w:val="00091054"/>
    <w:rsid w:val="00091D27"/>
    <w:rsid w:val="0009420E"/>
    <w:rsid w:val="000947F1"/>
    <w:rsid w:val="000A23D9"/>
    <w:rsid w:val="000A7ADE"/>
    <w:rsid w:val="000B097F"/>
    <w:rsid w:val="000B220B"/>
    <w:rsid w:val="000B27E6"/>
    <w:rsid w:val="000B2ABE"/>
    <w:rsid w:val="000B3F3E"/>
    <w:rsid w:val="000B4BF8"/>
    <w:rsid w:val="000B570A"/>
    <w:rsid w:val="000B6DAB"/>
    <w:rsid w:val="000C07F2"/>
    <w:rsid w:val="000C3255"/>
    <w:rsid w:val="000C33C4"/>
    <w:rsid w:val="000C36E4"/>
    <w:rsid w:val="000C3F9D"/>
    <w:rsid w:val="000C463E"/>
    <w:rsid w:val="000C7C03"/>
    <w:rsid w:val="000D1AB4"/>
    <w:rsid w:val="000D2FA0"/>
    <w:rsid w:val="000D4000"/>
    <w:rsid w:val="000D4FBC"/>
    <w:rsid w:val="000D65B9"/>
    <w:rsid w:val="000E2462"/>
    <w:rsid w:val="000E4367"/>
    <w:rsid w:val="000E607E"/>
    <w:rsid w:val="000F0C14"/>
    <w:rsid w:val="000F3DE2"/>
    <w:rsid w:val="000F7B54"/>
    <w:rsid w:val="001004FD"/>
    <w:rsid w:val="0010256B"/>
    <w:rsid w:val="00102F84"/>
    <w:rsid w:val="00103A95"/>
    <w:rsid w:val="00103FCA"/>
    <w:rsid w:val="001045D7"/>
    <w:rsid w:val="00104877"/>
    <w:rsid w:val="00104AA6"/>
    <w:rsid w:val="00104EC2"/>
    <w:rsid w:val="00106191"/>
    <w:rsid w:val="00106331"/>
    <w:rsid w:val="00106531"/>
    <w:rsid w:val="0011015B"/>
    <w:rsid w:val="00111365"/>
    <w:rsid w:val="0011194D"/>
    <w:rsid w:val="00111A76"/>
    <w:rsid w:val="00114581"/>
    <w:rsid w:val="001149C0"/>
    <w:rsid w:val="00114F19"/>
    <w:rsid w:val="001158EB"/>
    <w:rsid w:val="0012070B"/>
    <w:rsid w:val="00121C9F"/>
    <w:rsid w:val="001226C4"/>
    <w:rsid w:val="001227FD"/>
    <w:rsid w:val="00122D74"/>
    <w:rsid w:val="00122DBC"/>
    <w:rsid w:val="0012558E"/>
    <w:rsid w:val="00125729"/>
    <w:rsid w:val="00125BAC"/>
    <w:rsid w:val="0012607F"/>
    <w:rsid w:val="00126A48"/>
    <w:rsid w:val="00127B2A"/>
    <w:rsid w:val="00130DB9"/>
    <w:rsid w:val="00132B04"/>
    <w:rsid w:val="00134176"/>
    <w:rsid w:val="00136CD1"/>
    <w:rsid w:val="00137AD3"/>
    <w:rsid w:val="001415B6"/>
    <w:rsid w:val="00143A31"/>
    <w:rsid w:val="001452AB"/>
    <w:rsid w:val="00147FA7"/>
    <w:rsid w:val="001500DC"/>
    <w:rsid w:val="00152009"/>
    <w:rsid w:val="00152C74"/>
    <w:rsid w:val="00155FAA"/>
    <w:rsid w:val="0015732B"/>
    <w:rsid w:val="00157689"/>
    <w:rsid w:val="00165A1E"/>
    <w:rsid w:val="001667BA"/>
    <w:rsid w:val="00167334"/>
    <w:rsid w:val="00167CA2"/>
    <w:rsid w:val="0017522E"/>
    <w:rsid w:val="001804A4"/>
    <w:rsid w:val="001827B6"/>
    <w:rsid w:val="001830F8"/>
    <w:rsid w:val="001847DE"/>
    <w:rsid w:val="0018598B"/>
    <w:rsid w:val="001912B4"/>
    <w:rsid w:val="00192EEB"/>
    <w:rsid w:val="00194D00"/>
    <w:rsid w:val="001957C5"/>
    <w:rsid w:val="00196CC6"/>
    <w:rsid w:val="00196D93"/>
    <w:rsid w:val="001A09A9"/>
    <w:rsid w:val="001A28CD"/>
    <w:rsid w:val="001A4F50"/>
    <w:rsid w:val="001A52B6"/>
    <w:rsid w:val="001A5C72"/>
    <w:rsid w:val="001A65E7"/>
    <w:rsid w:val="001A7BFC"/>
    <w:rsid w:val="001B0B02"/>
    <w:rsid w:val="001B154B"/>
    <w:rsid w:val="001B4074"/>
    <w:rsid w:val="001B644A"/>
    <w:rsid w:val="001B65D9"/>
    <w:rsid w:val="001C30D3"/>
    <w:rsid w:val="001C6A72"/>
    <w:rsid w:val="001C7BB0"/>
    <w:rsid w:val="001C7EFF"/>
    <w:rsid w:val="001D05D4"/>
    <w:rsid w:val="001D177B"/>
    <w:rsid w:val="001D4284"/>
    <w:rsid w:val="001D4E4C"/>
    <w:rsid w:val="001D6068"/>
    <w:rsid w:val="001D63A8"/>
    <w:rsid w:val="001D6785"/>
    <w:rsid w:val="001D74F2"/>
    <w:rsid w:val="001E0ADA"/>
    <w:rsid w:val="001E597F"/>
    <w:rsid w:val="001E59A6"/>
    <w:rsid w:val="001E78C1"/>
    <w:rsid w:val="001F02C4"/>
    <w:rsid w:val="001F0C9D"/>
    <w:rsid w:val="001F25C4"/>
    <w:rsid w:val="001F6455"/>
    <w:rsid w:val="001F672F"/>
    <w:rsid w:val="001F6833"/>
    <w:rsid w:val="002000DA"/>
    <w:rsid w:val="00200122"/>
    <w:rsid w:val="002006D4"/>
    <w:rsid w:val="00201185"/>
    <w:rsid w:val="00201FCE"/>
    <w:rsid w:val="002079F8"/>
    <w:rsid w:val="00211EE8"/>
    <w:rsid w:val="00212874"/>
    <w:rsid w:val="0021623E"/>
    <w:rsid w:val="002164CB"/>
    <w:rsid w:val="00216DC4"/>
    <w:rsid w:val="00217EE3"/>
    <w:rsid w:val="00220168"/>
    <w:rsid w:val="002209C3"/>
    <w:rsid w:val="00221E5F"/>
    <w:rsid w:val="00224CDA"/>
    <w:rsid w:val="00224F8D"/>
    <w:rsid w:val="0022761F"/>
    <w:rsid w:val="00227FB5"/>
    <w:rsid w:val="00231E80"/>
    <w:rsid w:val="00232B16"/>
    <w:rsid w:val="00233603"/>
    <w:rsid w:val="00233AC8"/>
    <w:rsid w:val="00234E71"/>
    <w:rsid w:val="002363EF"/>
    <w:rsid w:val="00237B7C"/>
    <w:rsid w:val="00243306"/>
    <w:rsid w:val="002437E6"/>
    <w:rsid w:val="00244494"/>
    <w:rsid w:val="00251536"/>
    <w:rsid w:val="00252BE8"/>
    <w:rsid w:val="00255906"/>
    <w:rsid w:val="00260582"/>
    <w:rsid w:val="0026120A"/>
    <w:rsid w:val="00261641"/>
    <w:rsid w:val="002617A7"/>
    <w:rsid w:val="00261B78"/>
    <w:rsid w:val="00264D73"/>
    <w:rsid w:val="002667EB"/>
    <w:rsid w:val="00266DE3"/>
    <w:rsid w:val="00267B04"/>
    <w:rsid w:val="002706B2"/>
    <w:rsid w:val="0027186E"/>
    <w:rsid w:val="00271924"/>
    <w:rsid w:val="002731E6"/>
    <w:rsid w:val="00280139"/>
    <w:rsid w:val="00280659"/>
    <w:rsid w:val="00281D31"/>
    <w:rsid w:val="00282C87"/>
    <w:rsid w:val="00284773"/>
    <w:rsid w:val="00285FB5"/>
    <w:rsid w:val="0028651D"/>
    <w:rsid w:val="002910FE"/>
    <w:rsid w:val="002913D0"/>
    <w:rsid w:val="00292195"/>
    <w:rsid w:val="00292230"/>
    <w:rsid w:val="00292A3A"/>
    <w:rsid w:val="00295735"/>
    <w:rsid w:val="002957C8"/>
    <w:rsid w:val="00296B97"/>
    <w:rsid w:val="00296DD9"/>
    <w:rsid w:val="002A10AE"/>
    <w:rsid w:val="002A2E95"/>
    <w:rsid w:val="002A5A0D"/>
    <w:rsid w:val="002B0F50"/>
    <w:rsid w:val="002B1630"/>
    <w:rsid w:val="002B1931"/>
    <w:rsid w:val="002B34CD"/>
    <w:rsid w:val="002B394D"/>
    <w:rsid w:val="002B3E31"/>
    <w:rsid w:val="002B4314"/>
    <w:rsid w:val="002B51CA"/>
    <w:rsid w:val="002C181E"/>
    <w:rsid w:val="002C3A12"/>
    <w:rsid w:val="002D10C2"/>
    <w:rsid w:val="002D186E"/>
    <w:rsid w:val="002D422E"/>
    <w:rsid w:val="002E0437"/>
    <w:rsid w:val="002E06D2"/>
    <w:rsid w:val="002E27D7"/>
    <w:rsid w:val="002E4BDF"/>
    <w:rsid w:val="002E4F34"/>
    <w:rsid w:val="002F3D1A"/>
    <w:rsid w:val="002F5238"/>
    <w:rsid w:val="002F7562"/>
    <w:rsid w:val="003047CA"/>
    <w:rsid w:val="00304D90"/>
    <w:rsid w:val="00304E3A"/>
    <w:rsid w:val="00305EA3"/>
    <w:rsid w:val="003119E4"/>
    <w:rsid w:val="003120C4"/>
    <w:rsid w:val="00313713"/>
    <w:rsid w:val="00313E05"/>
    <w:rsid w:val="00315CD5"/>
    <w:rsid w:val="00316E80"/>
    <w:rsid w:val="00322E6A"/>
    <w:rsid w:val="00326073"/>
    <w:rsid w:val="00327D62"/>
    <w:rsid w:val="003440C7"/>
    <w:rsid w:val="00344F13"/>
    <w:rsid w:val="00345E64"/>
    <w:rsid w:val="00346139"/>
    <w:rsid w:val="00346E5B"/>
    <w:rsid w:val="003507FF"/>
    <w:rsid w:val="00350EBF"/>
    <w:rsid w:val="0035179D"/>
    <w:rsid w:val="0035479D"/>
    <w:rsid w:val="00354CE5"/>
    <w:rsid w:val="0035546B"/>
    <w:rsid w:val="00357538"/>
    <w:rsid w:val="0036032C"/>
    <w:rsid w:val="0036212A"/>
    <w:rsid w:val="00362C04"/>
    <w:rsid w:val="00363C55"/>
    <w:rsid w:val="00363E00"/>
    <w:rsid w:val="003654AD"/>
    <w:rsid w:val="003663B2"/>
    <w:rsid w:val="00367125"/>
    <w:rsid w:val="00372894"/>
    <w:rsid w:val="00373F2A"/>
    <w:rsid w:val="00374C03"/>
    <w:rsid w:val="00374F82"/>
    <w:rsid w:val="00375296"/>
    <w:rsid w:val="003756B7"/>
    <w:rsid w:val="00375BA7"/>
    <w:rsid w:val="00382969"/>
    <w:rsid w:val="00383F3D"/>
    <w:rsid w:val="00384687"/>
    <w:rsid w:val="00386368"/>
    <w:rsid w:val="003933DE"/>
    <w:rsid w:val="00394155"/>
    <w:rsid w:val="003957C5"/>
    <w:rsid w:val="003961B0"/>
    <w:rsid w:val="003A0E82"/>
    <w:rsid w:val="003A2C4E"/>
    <w:rsid w:val="003A2FF8"/>
    <w:rsid w:val="003A3E9B"/>
    <w:rsid w:val="003A4437"/>
    <w:rsid w:val="003A5F76"/>
    <w:rsid w:val="003A6C6E"/>
    <w:rsid w:val="003B4BA0"/>
    <w:rsid w:val="003B5C82"/>
    <w:rsid w:val="003B6765"/>
    <w:rsid w:val="003B6F5D"/>
    <w:rsid w:val="003C29F8"/>
    <w:rsid w:val="003C5C09"/>
    <w:rsid w:val="003C79B7"/>
    <w:rsid w:val="003D06FF"/>
    <w:rsid w:val="003D0884"/>
    <w:rsid w:val="003D0F25"/>
    <w:rsid w:val="003D1685"/>
    <w:rsid w:val="003D381A"/>
    <w:rsid w:val="003D4981"/>
    <w:rsid w:val="003D4B7D"/>
    <w:rsid w:val="003E11BD"/>
    <w:rsid w:val="003E3497"/>
    <w:rsid w:val="003E3B34"/>
    <w:rsid w:val="003E653D"/>
    <w:rsid w:val="003F3EB4"/>
    <w:rsid w:val="003F3F30"/>
    <w:rsid w:val="003F4A0E"/>
    <w:rsid w:val="003F54E4"/>
    <w:rsid w:val="00401399"/>
    <w:rsid w:val="0040572C"/>
    <w:rsid w:val="0040686C"/>
    <w:rsid w:val="00406CBA"/>
    <w:rsid w:val="004070F7"/>
    <w:rsid w:val="004071CD"/>
    <w:rsid w:val="00407B08"/>
    <w:rsid w:val="00407D2D"/>
    <w:rsid w:val="004101B8"/>
    <w:rsid w:val="00414ECD"/>
    <w:rsid w:val="004167A3"/>
    <w:rsid w:val="0042024C"/>
    <w:rsid w:val="004233B6"/>
    <w:rsid w:val="00425D0B"/>
    <w:rsid w:val="00427FE4"/>
    <w:rsid w:val="004306C4"/>
    <w:rsid w:val="00431FA1"/>
    <w:rsid w:val="00431FC2"/>
    <w:rsid w:val="00432764"/>
    <w:rsid w:val="00433E92"/>
    <w:rsid w:val="00435DEF"/>
    <w:rsid w:val="00436647"/>
    <w:rsid w:val="004373AC"/>
    <w:rsid w:val="0044072F"/>
    <w:rsid w:val="00443FFD"/>
    <w:rsid w:val="00444F1E"/>
    <w:rsid w:val="004450BB"/>
    <w:rsid w:val="00446D2D"/>
    <w:rsid w:val="00451509"/>
    <w:rsid w:val="00452990"/>
    <w:rsid w:val="00453E9C"/>
    <w:rsid w:val="00454204"/>
    <w:rsid w:val="0045455B"/>
    <w:rsid w:val="00455ED7"/>
    <w:rsid w:val="0045789D"/>
    <w:rsid w:val="00460565"/>
    <w:rsid w:val="004622AF"/>
    <w:rsid w:val="004625CA"/>
    <w:rsid w:val="00464CA6"/>
    <w:rsid w:val="00464FB8"/>
    <w:rsid w:val="004677DB"/>
    <w:rsid w:val="00471BFA"/>
    <w:rsid w:val="00472C41"/>
    <w:rsid w:val="00476D18"/>
    <w:rsid w:val="004919BF"/>
    <w:rsid w:val="00494B03"/>
    <w:rsid w:val="004971FA"/>
    <w:rsid w:val="004A1C75"/>
    <w:rsid w:val="004A3535"/>
    <w:rsid w:val="004A55DC"/>
    <w:rsid w:val="004A5909"/>
    <w:rsid w:val="004A6B36"/>
    <w:rsid w:val="004B30FF"/>
    <w:rsid w:val="004B3FEE"/>
    <w:rsid w:val="004B5E36"/>
    <w:rsid w:val="004B68DA"/>
    <w:rsid w:val="004B730E"/>
    <w:rsid w:val="004C0513"/>
    <w:rsid w:val="004C1DC7"/>
    <w:rsid w:val="004C4965"/>
    <w:rsid w:val="004C563D"/>
    <w:rsid w:val="004C77E1"/>
    <w:rsid w:val="004C7935"/>
    <w:rsid w:val="004D0511"/>
    <w:rsid w:val="004D40ED"/>
    <w:rsid w:val="004D45C3"/>
    <w:rsid w:val="004D572D"/>
    <w:rsid w:val="004D69CC"/>
    <w:rsid w:val="004D6F89"/>
    <w:rsid w:val="004E16C2"/>
    <w:rsid w:val="004E292A"/>
    <w:rsid w:val="004E38E2"/>
    <w:rsid w:val="004E6DB2"/>
    <w:rsid w:val="004F30B9"/>
    <w:rsid w:val="004F3287"/>
    <w:rsid w:val="004F48F1"/>
    <w:rsid w:val="004F4B63"/>
    <w:rsid w:val="004F5755"/>
    <w:rsid w:val="004F7A29"/>
    <w:rsid w:val="00500881"/>
    <w:rsid w:val="00500F26"/>
    <w:rsid w:val="00501077"/>
    <w:rsid w:val="00502D54"/>
    <w:rsid w:val="00506D87"/>
    <w:rsid w:val="005071D3"/>
    <w:rsid w:val="00507678"/>
    <w:rsid w:val="005079B4"/>
    <w:rsid w:val="00507AD9"/>
    <w:rsid w:val="0051397F"/>
    <w:rsid w:val="0051553A"/>
    <w:rsid w:val="0051592A"/>
    <w:rsid w:val="00515B02"/>
    <w:rsid w:val="00520022"/>
    <w:rsid w:val="00521149"/>
    <w:rsid w:val="0052345C"/>
    <w:rsid w:val="00524A16"/>
    <w:rsid w:val="00524EE1"/>
    <w:rsid w:val="00525080"/>
    <w:rsid w:val="00527276"/>
    <w:rsid w:val="005308F0"/>
    <w:rsid w:val="0053206B"/>
    <w:rsid w:val="00534C98"/>
    <w:rsid w:val="00543317"/>
    <w:rsid w:val="00543586"/>
    <w:rsid w:val="00544B40"/>
    <w:rsid w:val="005460C1"/>
    <w:rsid w:val="00546B53"/>
    <w:rsid w:val="00546DBF"/>
    <w:rsid w:val="00547F5E"/>
    <w:rsid w:val="0055412F"/>
    <w:rsid w:val="005542AB"/>
    <w:rsid w:val="00554CBD"/>
    <w:rsid w:val="0055653B"/>
    <w:rsid w:val="005613C9"/>
    <w:rsid w:val="005616B9"/>
    <w:rsid w:val="00562A90"/>
    <w:rsid w:val="00563B93"/>
    <w:rsid w:val="00563E01"/>
    <w:rsid w:val="005642BF"/>
    <w:rsid w:val="00565A7B"/>
    <w:rsid w:val="0056610D"/>
    <w:rsid w:val="00566B12"/>
    <w:rsid w:val="005710D9"/>
    <w:rsid w:val="00572B3D"/>
    <w:rsid w:val="00572D49"/>
    <w:rsid w:val="00574514"/>
    <w:rsid w:val="00574C2B"/>
    <w:rsid w:val="005762A9"/>
    <w:rsid w:val="00576353"/>
    <w:rsid w:val="005808A7"/>
    <w:rsid w:val="00582ABF"/>
    <w:rsid w:val="005840FE"/>
    <w:rsid w:val="00586C8E"/>
    <w:rsid w:val="005879CD"/>
    <w:rsid w:val="0059145D"/>
    <w:rsid w:val="00591C07"/>
    <w:rsid w:val="0059338F"/>
    <w:rsid w:val="00595152"/>
    <w:rsid w:val="00596357"/>
    <w:rsid w:val="00597C54"/>
    <w:rsid w:val="00597E83"/>
    <w:rsid w:val="005A14B6"/>
    <w:rsid w:val="005A153F"/>
    <w:rsid w:val="005A16F9"/>
    <w:rsid w:val="005A536C"/>
    <w:rsid w:val="005A60DF"/>
    <w:rsid w:val="005B13F5"/>
    <w:rsid w:val="005B2AB0"/>
    <w:rsid w:val="005B3402"/>
    <w:rsid w:val="005B364B"/>
    <w:rsid w:val="005C1842"/>
    <w:rsid w:val="005C36AC"/>
    <w:rsid w:val="005C39F5"/>
    <w:rsid w:val="005C4A62"/>
    <w:rsid w:val="005C6018"/>
    <w:rsid w:val="005C6C77"/>
    <w:rsid w:val="005C6F85"/>
    <w:rsid w:val="005C79A0"/>
    <w:rsid w:val="005D5FB7"/>
    <w:rsid w:val="005D5FCE"/>
    <w:rsid w:val="005D767E"/>
    <w:rsid w:val="005E3AB1"/>
    <w:rsid w:val="005E3D33"/>
    <w:rsid w:val="005E424E"/>
    <w:rsid w:val="005E4AB1"/>
    <w:rsid w:val="005E62DA"/>
    <w:rsid w:val="005F066C"/>
    <w:rsid w:val="005F32E4"/>
    <w:rsid w:val="005F3676"/>
    <w:rsid w:val="005F464B"/>
    <w:rsid w:val="00605B78"/>
    <w:rsid w:val="006078AD"/>
    <w:rsid w:val="00607F15"/>
    <w:rsid w:val="00611963"/>
    <w:rsid w:val="00611E0D"/>
    <w:rsid w:val="006126CB"/>
    <w:rsid w:val="006127B0"/>
    <w:rsid w:val="00613759"/>
    <w:rsid w:val="00614874"/>
    <w:rsid w:val="006151E1"/>
    <w:rsid w:val="00615A15"/>
    <w:rsid w:val="00617189"/>
    <w:rsid w:val="006204CF"/>
    <w:rsid w:val="00623EFE"/>
    <w:rsid w:val="0062680A"/>
    <w:rsid w:val="00626C39"/>
    <w:rsid w:val="0063028B"/>
    <w:rsid w:val="00630DF6"/>
    <w:rsid w:val="0063135B"/>
    <w:rsid w:val="00633644"/>
    <w:rsid w:val="0063575B"/>
    <w:rsid w:val="00636626"/>
    <w:rsid w:val="006376E1"/>
    <w:rsid w:val="00637FE9"/>
    <w:rsid w:val="0064106D"/>
    <w:rsid w:val="00642EEB"/>
    <w:rsid w:val="00643C73"/>
    <w:rsid w:val="00644C6A"/>
    <w:rsid w:val="0064787F"/>
    <w:rsid w:val="006507E2"/>
    <w:rsid w:val="006533F4"/>
    <w:rsid w:val="00657910"/>
    <w:rsid w:val="00662D66"/>
    <w:rsid w:val="006633B9"/>
    <w:rsid w:val="00663DDB"/>
    <w:rsid w:val="0066461E"/>
    <w:rsid w:val="0066470F"/>
    <w:rsid w:val="00665C79"/>
    <w:rsid w:val="00667BC3"/>
    <w:rsid w:val="00673289"/>
    <w:rsid w:val="00675DDA"/>
    <w:rsid w:val="00676F83"/>
    <w:rsid w:val="00683068"/>
    <w:rsid w:val="00683A09"/>
    <w:rsid w:val="00687BB6"/>
    <w:rsid w:val="00690DF3"/>
    <w:rsid w:val="00691FE2"/>
    <w:rsid w:val="00694DC5"/>
    <w:rsid w:val="00697B3E"/>
    <w:rsid w:val="00697CBF"/>
    <w:rsid w:val="00697D15"/>
    <w:rsid w:val="006A0C94"/>
    <w:rsid w:val="006A0F29"/>
    <w:rsid w:val="006A132D"/>
    <w:rsid w:val="006A1A62"/>
    <w:rsid w:val="006A38B3"/>
    <w:rsid w:val="006A3CDA"/>
    <w:rsid w:val="006A714B"/>
    <w:rsid w:val="006B1A0D"/>
    <w:rsid w:val="006B38E8"/>
    <w:rsid w:val="006B3908"/>
    <w:rsid w:val="006B488F"/>
    <w:rsid w:val="006B6122"/>
    <w:rsid w:val="006C0A07"/>
    <w:rsid w:val="006C3B7C"/>
    <w:rsid w:val="006C3FC6"/>
    <w:rsid w:val="006C6DCB"/>
    <w:rsid w:val="006D387E"/>
    <w:rsid w:val="006D7136"/>
    <w:rsid w:val="006E5CC2"/>
    <w:rsid w:val="006E6B57"/>
    <w:rsid w:val="006F029C"/>
    <w:rsid w:val="006F4606"/>
    <w:rsid w:val="006F6EB4"/>
    <w:rsid w:val="006F7258"/>
    <w:rsid w:val="006F730C"/>
    <w:rsid w:val="007005D4"/>
    <w:rsid w:val="007005E9"/>
    <w:rsid w:val="00701EEA"/>
    <w:rsid w:val="007052A5"/>
    <w:rsid w:val="007063AE"/>
    <w:rsid w:val="007109C7"/>
    <w:rsid w:val="00710C4C"/>
    <w:rsid w:val="007120C9"/>
    <w:rsid w:val="007121DB"/>
    <w:rsid w:val="007121FE"/>
    <w:rsid w:val="00712C1A"/>
    <w:rsid w:val="00713193"/>
    <w:rsid w:val="00714424"/>
    <w:rsid w:val="00716B46"/>
    <w:rsid w:val="00721A6D"/>
    <w:rsid w:val="007229E2"/>
    <w:rsid w:val="00725D7A"/>
    <w:rsid w:val="007264C4"/>
    <w:rsid w:val="00727DC1"/>
    <w:rsid w:val="007306E4"/>
    <w:rsid w:val="00732558"/>
    <w:rsid w:val="00732B91"/>
    <w:rsid w:val="00732C89"/>
    <w:rsid w:val="00734822"/>
    <w:rsid w:val="00734A69"/>
    <w:rsid w:val="00735915"/>
    <w:rsid w:val="00737999"/>
    <w:rsid w:val="00740353"/>
    <w:rsid w:val="007408BD"/>
    <w:rsid w:val="007438D7"/>
    <w:rsid w:val="00743BC5"/>
    <w:rsid w:val="00743E68"/>
    <w:rsid w:val="00747972"/>
    <w:rsid w:val="00753499"/>
    <w:rsid w:val="0075614F"/>
    <w:rsid w:val="00760222"/>
    <w:rsid w:val="007622D7"/>
    <w:rsid w:val="00771C3C"/>
    <w:rsid w:val="00774D07"/>
    <w:rsid w:val="007752B3"/>
    <w:rsid w:val="007754BB"/>
    <w:rsid w:val="0077683C"/>
    <w:rsid w:val="00776CAE"/>
    <w:rsid w:val="007777FF"/>
    <w:rsid w:val="0078081A"/>
    <w:rsid w:val="007821FD"/>
    <w:rsid w:val="007837A7"/>
    <w:rsid w:val="00783D6B"/>
    <w:rsid w:val="0078642B"/>
    <w:rsid w:val="00787560"/>
    <w:rsid w:val="007877DC"/>
    <w:rsid w:val="007879D6"/>
    <w:rsid w:val="0079036F"/>
    <w:rsid w:val="00790D17"/>
    <w:rsid w:val="007910BD"/>
    <w:rsid w:val="0079261B"/>
    <w:rsid w:val="00796928"/>
    <w:rsid w:val="00796936"/>
    <w:rsid w:val="007A170E"/>
    <w:rsid w:val="007A48D4"/>
    <w:rsid w:val="007A6A92"/>
    <w:rsid w:val="007A79D2"/>
    <w:rsid w:val="007B345F"/>
    <w:rsid w:val="007B5C36"/>
    <w:rsid w:val="007B690A"/>
    <w:rsid w:val="007B7425"/>
    <w:rsid w:val="007B79E7"/>
    <w:rsid w:val="007C00D4"/>
    <w:rsid w:val="007C13CE"/>
    <w:rsid w:val="007C20E8"/>
    <w:rsid w:val="007C4F7F"/>
    <w:rsid w:val="007C57BD"/>
    <w:rsid w:val="007C7014"/>
    <w:rsid w:val="007D0826"/>
    <w:rsid w:val="007D0BDB"/>
    <w:rsid w:val="007D125F"/>
    <w:rsid w:val="007D12EA"/>
    <w:rsid w:val="007D2F90"/>
    <w:rsid w:val="007D4F86"/>
    <w:rsid w:val="007D786E"/>
    <w:rsid w:val="007E0FEE"/>
    <w:rsid w:val="007E1087"/>
    <w:rsid w:val="007E1C2F"/>
    <w:rsid w:val="007E2D63"/>
    <w:rsid w:val="007E37E9"/>
    <w:rsid w:val="007E4A5F"/>
    <w:rsid w:val="007E5231"/>
    <w:rsid w:val="007F10F3"/>
    <w:rsid w:val="007F2ABD"/>
    <w:rsid w:val="007F4D3B"/>
    <w:rsid w:val="007F6317"/>
    <w:rsid w:val="007F6919"/>
    <w:rsid w:val="007F69DD"/>
    <w:rsid w:val="007F78A9"/>
    <w:rsid w:val="00802E73"/>
    <w:rsid w:val="008037C8"/>
    <w:rsid w:val="00810EB1"/>
    <w:rsid w:val="00812087"/>
    <w:rsid w:val="00812131"/>
    <w:rsid w:val="00813C4C"/>
    <w:rsid w:val="0081410C"/>
    <w:rsid w:val="00814F46"/>
    <w:rsid w:val="008163D8"/>
    <w:rsid w:val="008210F5"/>
    <w:rsid w:val="008214B2"/>
    <w:rsid w:val="008219E2"/>
    <w:rsid w:val="0082460F"/>
    <w:rsid w:val="008261A2"/>
    <w:rsid w:val="008275E1"/>
    <w:rsid w:val="00827AAD"/>
    <w:rsid w:val="00827ED3"/>
    <w:rsid w:val="00830697"/>
    <w:rsid w:val="00831EF3"/>
    <w:rsid w:val="008345AE"/>
    <w:rsid w:val="00834B09"/>
    <w:rsid w:val="00834C6A"/>
    <w:rsid w:val="00834FD8"/>
    <w:rsid w:val="00837DCC"/>
    <w:rsid w:val="00837ECA"/>
    <w:rsid w:val="00843A18"/>
    <w:rsid w:val="00845222"/>
    <w:rsid w:val="00847395"/>
    <w:rsid w:val="00847BF7"/>
    <w:rsid w:val="00851C49"/>
    <w:rsid w:val="0085466D"/>
    <w:rsid w:val="0085475E"/>
    <w:rsid w:val="00855C0B"/>
    <w:rsid w:val="00860269"/>
    <w:rsid w:val="00860589"/>
    <w:rsid w:val="008610C8"/>
    <w:rsid w:val="00861A77"/>
    <w:rsid w:val="00862B2B"/>
    <w:rsid w:val="0086363E"/>
    <w:rsid w:val="00863758"/>
    <w:rsid w:val="0086796C"/>
    <w:rsid w:val="0087081D"/>
    <w:rsid w:val="008724F8"/>
    <w:rsid w:val="0087334D"/>
    <w:rsid w:val="00873807"/>
    <w:rsid w:val="0087393E"/>
    <w:rsid w:val="00873B9B"/>
    <w:rsid w:val="008746A1"/>
    <w:rsid w:val="00875FA0"/>
    <w:rsid w:val="0088098A"/>
    <w:rsid w:val="00881B24"/>
    <w:rsid w:val="008821B0"/>
    <w:rsid w:val="00882962"/>
    <w:rsid w:val="008839D2"/>
    <w:rsid w:val="008856A1"/>
    <w:rsid w:val="00885DE4"/>
    <w:rsid w:val="00893B48"/>
    <w:rsid w:val="00895135"/>
    <w:rsid w:val="008966A9"/>
    <w:rsid w:val="008967E8"/>
    <w:rsid w:val="00896A39"/>
    <w:rsid w:val="008A06DB"/>
    <w:rsid w:val="008A5801"/>
    <w:rsid w:val="008A6ED7"/>
    <w:rsid w:val="008A6F01"/>
    <w:rsid w:val="008A7E6E"/>
    <w:rsid w:val="008B08A0"/>
    <w:rsid w:val="008B201C"/>
    <w:rsid w:val="008B2AB4"/>
    <w:rsid w:val="008B2BEB"/>
    <w:rsid w:val="008B4425"/>
    <w:rsid w:val="008B7477"/>
    <w:rsid w:val="008B77B2"/>
    <w:rsid w:val="008C0114"/>
    <w:rsid w:val="008C17AE"/>
    <w:rsid w:val="008C22ED"/>
    <w:rsid w:val="008C2721"/>
    <w:rsid w:val="008C3C04"/>
    <w:rsid w:val="008C4E01"/>
    <w:rsid w:val="008C6526"/>
    <w:rsid w:val="008C7CF4"/>
    <w:rsid w:val="008D26C8"/>
    <w:rsid w:val="008D3A20"/>
    <w:rsid w:val="008D4021"/>
    <w:rsid w:val="008D563C"/>
    <w:rsid w:val="008D67BA"/>
    <w:rsid w:val="008D6F31"/>
    <w:rsid w:val="008D7327"/>
    <w:rsid w:val="008D78EA"/>
    <w:rsid w:val="008E14F3"/>
    <w:rsid w:val="008E1640"/>
    <w:rsid w:val="008E1DC9"/>
    <w:rsid w:val="008E2F03"/>
    <w:rsid w:val="008E38FB"/>
    <w:rsid w:val="008E4382"/>
    <w:rsid w:val="008E43A1"/>
    <w:rsid w:val="008E5CA0"/>
    <w:rsid w:val="008E65C6"/>
    <w:rsid w:val="008E6E40"/>
    <w:rsid w:val="008E7A4F"/>
    <w:rsid w:val="008E7CC6"/>
    <w:rsid w:val="008E7D3C"/>
    <w:rsid w:val="008F19DD"/>
    <w:rsid w:val="008F37B1"/>
    <w:rsid w:val="008F7F32"/>
    <w:rsid w:val="00900B48"/>
    <w:rsid w:val="00905D0A"/>
    <w:rsid w:val="009070F1"/>
    <w:rsid w:val="00907A68"/>
    <w:rsid w:val="00912502"/>
    <w:rsid w:val="009166BD"/>
    <w:rsid w:val="00916935"/>
    <w:rsid w:val="0092177B"/>
    <w:rsid w:val="00921C2F"/>
    <w:rsid w:val="00921E18"/>
    <w:rsid w:val="009235E7"/>
    <w:rsid w:val="009240C8"/>
    <w:rsid w:val="009249DC"/>
    <w:rsid w:val="00926BA4"/>
    <w:rsid w:val="009275B3"/>
    <w:rsid w:val="009301BF"/>
    <w:rsid w:val="0093114D"/>
    <w:rsid w:val="00933D7B"/>
    <w:rsid w:val="0093439C"/>
    <w:rsid w:val="00940833"/>
    <w:rsid w:val="0094198B"/>
    <w:rsid w:val="00942BA3"/>
    <w:rsid w:val="00942F0C"/>
    <w:rsid w:val="00943D4A"/>
    <w:rsid w:val="00944922"/>
    <w:rsid w:val="00944F68"/>
    <w:rsid w:val="00950514"/>
    <w:rsid w:val="0095073F"/>
    <w:rsid w:val="00955A11"/>
    <w:rsid w:val="00955B0A"/>
    <w:rsid w:val="009575AD"/>
    <w:rsid w:val="00961541"/>
    <w:rsid w:val="00961BFA"/>
    <w:rsid w:val="00964CF0"/>
    <w:rsid w:val="0096640E"/>
    <w:rsid w:val="009672F5"/>
    <w:rsid w:val="00967C02"/>
    <w:rsid w:val="009714CC"/>
    <w:rsid w:val="00971560"/>
    <w:rsid w:val="00972635"/>
    <w:rsid w:val="00973C0A"/>
    <w:rsid w:val="00973DA5"/>
    <w:rsid w:val="009765DF"/>
    <w:rsid w:val="00976F29"/>
    <w:rsid w:val="009773A9"/>
    <w:rsid w:val="00977694"/>
    <w:rsid w:val="00980437"/>
    <w:rsid w:val="009819AC"/>
    <w:rsid w:val="00981D15"/>
    <w:rsid w:val="00983032"/>
    <w:rsid w:val="00983AED"/>
    <w:rsid w:val="00985CE7"/>
    <w:rsid w:val="009909BA"/>
    <w:rsid w:val="00991154"/>
    <w:rsid w:val="0099183D"/>
    <w:rsid w:val="00991CEF"/>
    <w:rsid w:val="00991DF9"/>
    <w:rsid w:val="0099301A"/>
    <w:rsid w:val="009971F0"/>
    <w:rsid w:val="009A0644"/>
    <w:rsid w:val="009A19DE"/>
    <w:rsid w:val="009A2D31"/>
    <w:rsid w:val="009A2F85"/>
    <w:rsid w:val="009A4034"/>
    <w:rsid w:val="009A4E49"/>
    <w:rsid w:val="009A5AC9"/>
    <w:rsid w:val="009B481E"/>
    <w:rsid w:val="009B4E12"/>
    <w:rsid w:val="009B501F"/>
    <w:rsid w:val="009C2A8E"/>
    <w:rsid w:val="009C3B44"/>
    <w:rsid w:val="009C6402"/>
    <w:rsid w:val="009C7956"/>
    <w:rsid w:val="009C7BBF"/>
    <w:rsid w:val="009D0AF7"/>
    <w:rsid w:val="009D0E2B"/>
    <w:rsid w:val="009D0FD7"/>
    <w:rsid w:val="009D178C"/>
    <w:rsid w:val="009D497A"/>
    <w:rsid w:val="009E2F24"/>
    <w:rsid w:val="009E33A4"/>
    <w:rsid w:val="009E4C03"/>
    <w:rsid w:val="009E6468"/>
    <w:rsid w:val="009F15AD"/>
    <w:rsid w:val="009F1E5F"/>
    <w:rsid w:val="009F2143"/>
    <w:rsid w:val="009F23F8"/>
    <w:rsid w:val="009F28D2"/>
    <w:rsid w:val="009F57DB"/>
    <w:rsid w:val="009F6FC3"/>
    <w:rsid w:val="009F7C75"/>
    <w:rsid w:val="00A028B2"/>
    <w:rsid w:val="00A039B5"/>
    <w:rsid w:val="00A0445E"/>
    <w:rsid w:val="00A0454D"/>
    <w:rsid w:val="00A059A0"/>
    <w:rsid w:val="00A10A26"/>
    <w:rsid w:val="00A1754D"/>
    <w:rsid w:val="00A212B8"/>
    <w:rsid w:val="00A23529"/>
    <w:rsid w:val="00A26B10"/>
    <w:rsid w:val="00A3015A"/>
    <w:rsid w:val="00A323DD"/>
    <w:rsid w:val="00A3707D"/>
    <w:rsid w:val="00A425C2"/>
    <w:rsid w:val="00A440FF"/>
    <w:rsid w:val="00A446E5"/>
    <w:rsid w:val="00A45164"/>
    <w:rsid w:val="00A4637F"/>
    <w:rsid w:val="00A50045"/>
    <w:rsid w:val="00A51B55"/>
    <w:rsid w:val="00A52DA5"/>
    <w:rsid w:val="00A52EF7"/>
    <w:rsid w:val="00A5490C"/>
    <w:rsid w:val="00A554B6"/>
    <w:rsid w:val="00A606E0"/>
    <w:rsid w:val="00A62F44"/>
    <w:rsid w:val="00A649E1"/>
    <w:rsid w:val="00A64E6F"/>
    <w:rsid w:val="00A6711C"/>
    <w:rsid w:val="00A7021D"/>
    <w:rsid w:val="00A724A6"/>
    <w:rsid w:val="00A7322B"/>
    <w:rsid w:val="00A743D3"/>
    <w:rsid w:val="00A76382"/>
    <w:rsid w:val="00A7668D"/>
    <w:rsid w:val="00A8122C"/>
    <w:rsid w:val="00A812D7"/>
    <w:rsid w:val="00A814A0"/>
    <w:rsid w:val="00A83A99"/>
    <w:rsid w:val="00A85A8F"/>
    <w:rsid w:val="00A90CF5"/>
    <w:rsid w:val="00A92AC3"/>
    <w:rsid w:val="00A94FF1"/>
    <w:rsid w:val="00AA012D"/>
    <w:rsid w:val="00AA0757"/>
    <w:rsid w:val="00AA62FE"/>
    <w:rsid w:val="00AA649A"/>
    <w:rsid w:val="00AA73D2"/>
    <w:rsid w:val="00AB1352"/>
    <w:rsid w:val="00AB1438"/>
    <w:rsid w:val="00AB14F7"/>
    <w:rsid w:val="00AB260D"/>
    <w:rsid w:val="00AB2D57"/>
    <w:rsid w:val="00AB2E04"/>
    <w:rsid w:val="00AB490F"/>
    <w:rsid w:val="00AB657D"/>
    <w:rsid w:val="00AB67C2"/>
    <w:rsid w:val="00AB7A53"/>
    <w:rsid w:val="00AC1A8F"/>
    <w:rsid w:val="00AC371A"/>
    <w:rsid w:val="00AD071F"/>
    <w:rsid w:val="00AD4EDA"/>
    <w:rsid w:val="00AD66DA"/>
    <w:rsid w:val="00AD789F"/>
    <w:rsid w:val="00AE07D6"/>
    <w:rsid w:val="00AE28F6"/>
    <w:rsid w:val="00AE46B7"/>
    <w:rsid w:val="00AE5762"/>
    <w:rsid w:val="00AF0670"/>
    <w:rsid w:val="00AF1194"/>
    <w:rsid w:val="00AF2E55"/>
    <w:rsid w:val="00AF5B7B"/>
    <w:rsid w:val="00AF759F"/>
    <w:rsid w:val="00B00219"/>
    <w:rsid w:val="00B024B3"/>
    <w:rsid w:val="00B035B0"/>
    <w:rsid w:val="00B16D09"/>
    <w:rsid w:val="00B17497"/>
    <w:rsid w:val="00B2041F"/>
    <w:rsid w:val="00B21083"/>
    <w:rsid w:val="00B2188E"/>
    <w:rsid w:val="00B21F73"/>
    <w:rsid w:val="00B237DD"/>
    <w:rsid w:val="00B23A5B"/>
    <w:rsid w:val="00B24231"/>
    <w:rsid w:val="00B25406"/>
    <w:rsid w:val="00B26108"/>
    <w:rsid w:val="00B268ED"/>
    <w:rsid w:val="00B26DED"/>
    <w:rsid w:val="00B27D43"/>
    <w:rsid w:val="00B3075B"/>
    <w:rsid w:val="00B307D4"/>
    <w:rsid w:val="00B311F9"/>
    <w:rsid w:val="00B31221"/>
    <w:rsid w:val="00B32FA3"/>
    <w:rsid w:val="00B33102"/>
    <w:rsid w:val="00B346EE"/>
    <w:rsid w:val="00B34BCA"/>
    <w:rsid w:val="00B35EF1"/>
    <w:rsid w:val="00B40BA2"/>
    <w:rsid w:val="00B40DAE"/>
    <w:rsid w:val="00B428B6"/>
    <w:rsid w:val="00B45245"/>
    <w:rsid w:val="00B478C3"/>
    <w:rsid w:val="00B503E4"/>
    <w:rsid w:val="00B51DCD"/>
    <w:rsid w:val="00B52061"/>
    <w:rsid w:val="00B52510"/>
    <w:rsid w:val="00B54154"/>
    <w:rsid w:val="00B54397"/>
    <w:rsid w:val="00B54A38"/>
    <w:rsid w:val="00B551C1"/>
    <w:rsid w:val="00B60947"/>
    <w:rsid w:val="00B62ACA"/>
    <w:rsid w:val="00B64F98"/>
    <w:rsid w:val="00B65F34"/>
    <w:rsid w:val="00B71CE0"/>
    <w:rsid w:val="00B722B6"/>
    <w:rsid w:val="00B734B7"/>
    <w:rsid w:val="00B744B5"/>
    <w:rsid w:val="00B76B7C"/>
    <w:rsid w:val="00B76E93"/>
    <w:rsid w:val="00B80A72"/>
    <w:rsid w:val="00B81517"/>
    <w:rsid w:val="00B83C51"/>
    <w:rsid w:val="00B85999"/>
    <w:rsid w:val="00B86539"/>
    <w:rsid w:val="00B8666D"/>
    <w:rsid w:val="00B903C5"/>
    <w:rsid w:val="00B912ED"/>
    <w:rsid w:val="00B9175E"/>
    <w:rsid w:val="00B93FF0"/>
    <w:rsid w:val="00B94803"/>
    <w:rsid w:val="00BA027B"/>
    <w:rsid w:val="00BA342A"/>
    <w:rsid w:val="00BA366D"/>
    <w:rsid w:val="00BA4646"/>
    <w:rsid w:val="00BA4E25"/>
    <w:rsid w:val="00BA6477"/>
    <w:rsid w:val="00BA7713"/>
    <w:rsid w:val="00BA77C3"/>
    <w:rsid w:val="00BB0D01"/>
    <w:rsid w:val="00BB1961"/>
    <w:rsid w:val="00BB2E8D"/>
    <w:rsid w:val="00BB4420"/>
    <w:rsid w:val="00BB483B"/>
    <w:rsid w:val="00BB50C4"/>
    <w:rsid w:val="00BB5288"/>
    <w:rsid w:val="00BB6606"/>
    <w:rsid w:val="00BB69EC"/>
    <w:rsid w:val="00BC244A"/>
    <w:rsid w:val="00BC27D1"/>
    <w:rsid w:val="00BC4670"/>
    <w:rsid w:val="00BC51FE"/>
    <w:rsid w:val="00BC75DC"/>
    <w:rsid w:val="00BD3049"/>
    <w:rsid w:val="00BD33B6"/>
    <w:rsid w:val="00BD4B93"/>
    <w:rsid w:val="00BD5EC6"/>
    <w:rsid w:val="00BD6FF7"/>
    <w:rsid w:val="00BE082A"/>
    <w:rsid w:val="00BE1DE5"/>
    <w:rsid w:val="00BE346D"/>
    <w:rsid w:val="00BE6839"/>
    <w:rsid w:val="00BE7BA1"/>
    <w:rsid w:val="00BE7BA5"/>
    <w:rsid w:val="00BF15BC"/>
    <w:rsid w:val="00BF1785"/>
    <w:rsid w:val="00BF1E09"/>
    <w:rsid w:val="00BF4796"/>
    <w:rsid w:val="00BF683D"/>
    <w:rsid w:val="00BF7A96"/>
    <w:rsid w:val="00BF7C8D"/>
    <w:rsid w:val="00C00E92"/>
    <w:rsid w:val="00C019A0"/>
    <w:rsid w:val="00C01B22"/>
    <w:rsid w:val="00C01B7F"/>
    <w:rsid w:val="00C03160"/>
    <w:rsid w:val="00C04A5B"/>
    <w:rsid w:val="00C06988"/>
    <w:rsid w:val="00C07D17"/>
    <w:rsid w:val="00C1372D"/>
    <w:rsid w:val="00C14A09"/>
    <w:rsid w:val="00C16E25"/>
    <w:rsid w:val="00C17A20"/>
    <w:rsid w:val="00C21AED"/>
    <w:rsid w:val="00C22065"/>
    <w:rsid w:val="00C234D0"/>
    <w:rsid w:val="00C24480"/>
    <w:rsid w:val="00C25852"/>
    <w:rsid w:val="00C27341"/>
    <w:rsid w:val="00C30A86"/>
    <w:rsid w:val="00C326A8"/>
    <w:rsid w:val="00C330A6"/>
    <w:rsid w:val="00C3372C"/>
    <w:rsid w:val="00C40D5A"/>
    <w:rsid w:val="00C41DFC"/>
    <w:rsid w:val="00C43980"/>
    <w:rsid w:val="00C445E8"/>
    <w:rsid w:val="00C4476E"/>
    <w:rsid w:val="00C44962"/>
    <w:rsid w:val="00C44CDD"/>
    <w:rsid w:val="00C450E6"/>
    <w:rsid w:val="00C505FE"/>
    <w:rsid w:val="00C50859"/>
    <w:rsid w:val="00C5119D"/>
    <w:rsid w:val="00C526F9"/>
    <w:rsid w:val="00C545A3"/>
    <w:rsid w:val="00C61D1C"/>
    <w:rsid w:val="00C63F92"/>
    <w:rsid w:val="00C64FD9"/>
    <w:rsid w:val="00C672C9"/>
    <w:rsid w:val="00C716F2"/>
    <w:rsid w:val="00C717FD"/>
    <w:rsid w:val="00C71EE6"/>
    <w:rsid w:val="00C768A8"/>
    <w:rsid w:val="00C76D85"/>
    <w:rsid w:val="00C81BA5"/>
    <w:rsid w:val="00C83C6A"/>
    <w:rsid w:val="00C849C8"/>
    <w:rsid w:val="00C85EF4"/>
    <w:rsid w:val="00C907A3"/>
    <w:rsid w:val="00C908E5"/>
    <w:rsid w:val="00C95356"/>
    <w:rsid w:val="00C97F9E"/>
    <w:rsid w:val="00CA2A4D"/>
    <w:rsid w:val="00CA2DC8"/>
    <w:rsid w:val="00CA3214"/>
    <w:rsid w:val="00CA3541"/>
    <w:rsid w:val="00CA5E79"/>
    <w:rsid w:val="00CB2AE2"/>
    <w:rsid w:val="00CB31F1"/>
    <w:rsid w:val="00CB3BE3"/>
    <w:rsid w:val="00CB449F"/>
    <w:rsid w:val="00CB4A57"/>
    <w:rsid w:val="00CB5687"/>
    <w:rsid w:val="00CB736B"/>
    <w:rsid w:val="00CC0AD9"/>
    <w:rsid w:val="00CC32B4"/>
    <w:rsid w:val="00CC5865"/>
    <w:rsid w:val="00CD02B6"/>
    <w:rsid w:val="00CD1501"/>
    <w:rsid w:val="00CD15A9"/>
    <w:rsid w:val="00CD32B3"/>
    <w:rsid w:val="00CD5D88"/>
    <w:rsid w:val="00CD6746"/>
    <w:rsid w:val="00CD792C"/>
    <w:rsid w:val="00CE0AE1"/>
    <w:rsid w:val="00CE1EB1"/>
    <w:rsid w:val="00CE2BE1"/>
    <w:rsid w:val="00CE4A2B"/>
    <w:rsid w:val="00CE60A1"/>
    <w:rsid w:val="00CF0D7A"/>
    <w:rsid w:val="00CF1767"/>
    <w:rsid w:val="00CF18CF"/>
    <w:rsid w:val="00CF1C76"/>
    <w:rsid w:val="00CF25B7"/>
    <w:rsid w:val="00CF3149"/>
    <w:rsid w:val="00CF3343"/>
    <w:rsid w:val="00CF3576"/>
    <w:rsid w:val="00CF3870"/>
    <w:rsid w:val="00CF3A55"/>
    <w:rsid w:val="00CF5A00"/>
    <w:rsid w:val="00CF5AEF"/>
    <w:rsid w:val="00CF6383"/>
    <w:rsid w:val="00CF7434"/>
    <w:rsid w:val="00D03D6F"/>
    <w:rsid w:val="00D0442F"/>
    <w:rsid w:val="00D048C2"/>
    <w:rsid w:val="00D06334"/>
    <w:rsid w:val="00D071F3"/>
    <w:rsid w:val="00D078E0"/>
    <w:rsid w:val="00D12B46"/>
    <w:rsid w:val="00D13F5C"/>
    <w:rsid w:val="00D140F4"/>
    <w:rsid w:val="00D14AD6"/>
    <w:rsid w:val="00D159C6"/>
    <w:rsid w:val="00D165E5"/>
    <w:rsid w:val="00D21629"/>
    <w:rsid w:val="00D2166A"/>
    <w:rsid w:val="00D22B49"/>
    <w:rsid w:val="00D2390C"/>
    <w:rsid w:val="00D242A4"/>
    <w:rsid w:val="00D24FD8"/>
    <w:rsid w:val="00D2538A"/>
    <w:rsid w:val="00D25667"/>
    <w:rsid w:val="00D27C69"/>
    <w:rsid w:val="00D34D79"/>
    <w:rsid w:val="00D40D68"/>
    <w:rsid w:val="00D4164D"/>
    <w:rsid w:val="00D43DD4"/>
    <w:rsid w:val="00D43F28"/>
    <w:rsid w:val="00D450C5"/>
    <w:rsid w:val="00D46F22"/>
    <w:rsid w:val="00D5066D"/>
    <w:rsid w:val="00D5083F"/>
    <w:rsid w:val="00D51E95"/>
    <w:rsid w:val="00D5217F"/>
    <w:rsid w:val="00D52E7D"/>
    <w:rsid w:val="00D549FD"/>
    <w:rsid w:val="00D54A4A"/>
    <w:rsid w:val="00D561A5"/>
    <w:rsid w:val="00D569A6"/>
    <w:rsid w:val="00D5797A"/>
    <w:rsid w:val="00D57CCE"/>
    <w:rsid w:val="00D61358"/>
    <w:rsid w:val="00D63887"/>
    <w:rsid w:val="00D6476C"/>
    <w:rsid w:val="00D65A0D"/>
    <w:rsid w:val="00D67A82"/>
    <w:rsid w:val="00D70F7C"/>
    <w:rsid w:val="00D7399A"/>
    <w:rsid w:val="00D74840"/>
    <w:rsid w:val="00D75891"/>
    <w:rsid w:val="00D7642A"/>
    <w:rsid w:val="00D76979"/>
    <w:rsid w:val="00D806A2"/>
    <w:rsid w:val="00D80EBA"/>
    <w:rsid w:val="00D81CC8"/>
    <w:rsid w:val="00D84E18"/>
    <w:rsid w:val="00D852EF"/>
    <w:rsid w:val="00D868C8"/>
    <w:rsid w:val="00D927C6"/>
    <w:rsid w:val="00D937B5"/>
    <w:rsid w:val="00D94B68"/>
    <w:rsid w:val="00D9708D"/>
    <w:rsid w:val="00D97961"/>
    <w:rsid w:val="00D97B1A"/>
    <w:rsid w:val="00D97BD3"/>
    <w:rsid w:val="00DA092B"/>
    <w:rsid w:val="00DB59CB"/>
    <w:rsid w:val="00DB5AAB"/>
    <w:rsid w:val="00DC2512"/>
    <w:rsid w:val="00DC357D"/>
    <w:rsid w:val="00DC3B94"/>
    <w:rsid w:val="00DC4FDA"/>
    <w:rsid w:val="00DC53FE"/>
    <w:rsid w:val="00DC6B1B"/>
    <w:rsid w:val="00DD449D"/>
    <w:rsid w:val="00DE0B5F"/>
    <w:rsid w:val="00DE26BB"/>
    <w:rsid w:val="00DE3D50"/>
    <w:rsid w:val="00DE43AA"/>
    <w:rsid w:val="00DE6F0C"/>
    <w:rsid w:val="00DE7C18"/>
    <w:rsid w:val="00DF1DEC"/>
    <w:rsid w:val="00DF39C3"/>
    <w:rsid w:val="00DF3A59"/>
    <w:rsid w:val="00DF3DE7"/>
    <w:rsid w:val="00DF78AC"/>
    <w:rsid w:val="00E00367"/>
    <w:rsid w:val="00E03842"/>
    <w:rsid w:val="00E07916"/>
    <w:rsid w:val="00E079A4"/>
    <w:rsid w:val="00E07A17"/>
    <w:rsid w:val="00E100A0"/>
    <w:rsid w:val="00E122E9"/>
    <w:rsid w:val="00E147D9"/>
    <w:rsid w:val="00E15131"/>
    <w:rsid w:val="00E1543D"/>
    <w:rsid w:val="00E15AE6"/>
    <w:rsid w:val="00E16647"/>
    <w:rsid w:val="00E1769B"/>
    <w:rsid w:val="00E24B2B"/>
    <w:rsid w:val="00E24C7B"/>
    <w:rsid w:val="00E26521"/>
    <w:rsid w:val="00E27355"/>
    <w:rsid w:val="00E315CF"/>
    <w:rsid w:val="00E332CD"/>
    <w:rsid w:val="00E34E4B"/>
    <w:rsid w:val="00E35EC4"/>
    <w:rsid w:val="00E36B21"/>
    <w:rsid w:val="00E37705"/>
    <w:rsid w:val="00E37CAC"/>
    <w:rsid w:val="00E412EF"/>
    <w:rsid w:val="00E444A3"/>
    <w:rsid w:val="00E462C5"/>
    <w:rsid w:val="00E508EA"/>
    <w:rsid w:val="00E51576"/>
    <w:rsid w:val="00E54F42"/>
    <w:rsid w:val="00E56A32"/>
    <w:rsid w:val="00E60297"/>
    <w:rsid w:val="00E6097B"/>
    <w:rsid w:val="00E65AF8"/>
    <w:rsid w:val="00E6707D"/>
    <w:rsid w:val="00E6748F"/>
    <w:rsid w:val="00E67798"/>
    <w:rsid w:val="00E70BA5"/>
    <w:rsid w:val="00E70D79"/>
    <w:rsid w:val="00E715DA"/>
    <w:rsid w:val="00E720FF"/>
    <w:rsid w:val="00E7243C"/>
    <w:rsid w:val="00E74640"/>
    <w:rsid w:val="00E74E8B"/>
    <w:rsid w:val="00E757D7"/>
    <w:rsid w:val="00E76350"/>
    <w:rsid w:val="00E80344"/>
    <w:rsid w:val="00E81FBE"/>
    <w:rsid w:val="00E82915"/>
    <w:rsid w:val="00E87267"/>
    <w:rsid w:val="00E8747E"/>
    <w:rsid w:val="00E87F43"/>
    <w:rsid w:val="00E92C73"/>
    <w:rsid w:val="00E96B04"/>
    <w:rsid w:val="00E97491"/>
    <w:rsid w:val="00EA36E1"/>
    <w:rsid w:val="00EA4532"/>
    <w:rsid w:val="00EA5AEE"/>
    <w:rsid w:val="00EA7C6C"/>
    <w:rsid w:val="00EB102B"/>
    <w:rsid w:val="00EB24FD"/>
    <w:rsid w:val="00EB322A"/>
    <w:rsid w:val="00EB3FB1"/>
    <w:rsid w:val="00EB4200"/>
    <w:rsid w:val="00EB43A7"/>
    <w:rsid w:val="00EB51E5"/>
    <w:rsid w:val="00EB695D"/>
    <w:rsid w:val="00EB6DBC"/>
    <w:rsid w:val="00EB6E3D"/>
    <w:rsid w:val="00EB758B"/>
    <w:rsid w:val="00EB7B1E"/>
    <w:rsid w:val="00EC3F0D"/>
    <w:rsid w:val="00EC69B4"/>
    <w:rsid w:val="00EC729C"/>
    <w:rsid w:val="00EC78C4"/>
    <w:rsid w:val="00ED1A75"/>
    <w:rsid w:val="00ED26FB"/>
    <w:rsid w:val="00ED3735"/>
    <w:rsid w:val="00ED5162"/>
    <w:rsid w:val="00ED52C7"/>
    <w:rsid w:val="00ED5735"/>
    <w:rsid w:val="00EE12F8"/>
    <w:rsid w:val="00EE3BBE"/>
    <w:rsid w:val="00EE442D"/>
    <w:rsid w:val="00EE59D1"/>
    <w:rsid w:val="00EE6129"/>
    <w:rsid w:val="00EE6864"/>
    <w:rsid w:val="00EE7B63"/>
    <w:rsid w:val="00EF0C40"/>
    <w:rsid w:val="00EF15BB"/>
    <w:rsid w:val="00EF2E1A"/>
    <w:rsid w:val="00EF3600"/>
    <w:rsid w:val="00EF38FE"/>
    <w:rsid w:val="00EF744C"/>
    <w:rsid w:val="00EF77F6"/>
    <w:rsid w:val="00F0226E"/>
    <w:rsid w:val="00F03417"/>
    <w:rsid w:val="00F0445D"/>
    <w:rsid w:val="00F054BD"/>
    <w:rsid w:val="00F05A2E"/>
    <w:rsid w:val="00F06457"/>
    <w:rsid w:val="00F102C0"/>
    <w:rsid w:val="00F10398"/>
    <w:rsid w:val="00F119C3"/>
    <w:rsid w:val="00F129B1"/>
    <w:rsid w:val="00F137E2"/>
    <w:rsid w:val="00F14305"/>
    <w:rsid w:val="00F16DD7"/>
    <w:rsid w:val="00F21919"/>
    <w:rsid w:val="00F22592"/>
    <w:rsid w:val="00F26166"/>
    <w:rsid w:val="00F27888"/>
    <w:rsid w:val="00F33856"/>
    <w:rsid w:val="00F33F6E"/>
    <w:rsid w:val="00F34DE5"/>
    <w:rsid w:val="00F3658C"/>
    <w:rsid w:val="00F36D88"/>
    <w:rsid w:val="00F37204"/>
    <w:rsid w:val="00F37F01"/>
    <w:rsid w:val="00F4017E"/>
    <w:rsid w:val="00F402A9"/>
    <w:rsid w:val="00F410A4"/>
    <w:rsid w:val="00F42161"/>
    <w:rsid w:val="00F4278A"/>
    <w:rsid w:val="00F4360A"/>
    <w:rsid w:val="00F43628"/>
    <w:rsid w:val="00F449ED"/>
    <w:rsid w:val="00F47F3F"/>
    <w:rsid w:val="00F51A59"/>
    <w:rsid w:val="00F51C28"/>
    <w:rsid w:val="00F520C1"/>
    <w:rsid w:val="00F524D6"/>
    <w:rsid w:val="00F52E2D"/>
    <w:rsid w:val="00F53F89"/>
    <w:rsid w:val="00F542B6"/>
    <w:rsid w:val="00F5447B"/>
    <w:rsid w:val="00F54AE7"/>
    <w:rsid w:val="00F556DE"/>
    <w:rsid w:val="00F56A2D"/>
    <w:rsid w:val="00F56A4F"/>
    <w:rsid w:val="00F574D2"/>
    <w:rsid w:val="00F57C86"/>
    <w:rsid w:val="00F623C1"/>
    <w:rsid w:val="00F628DA"/>
    <w:rsid w:val="00F63C4D"/>
    <w:rsid w:val="00F657E9"/>
    <w:rsid w:val="00F67279"/>
    <w:rsid w:val="00F709B6"/>
    <w:rsid w:val="00F737F4"/>
    <w:rsid w:val="00F75993"/>
    <w:rsid w:val="00F7615A"/>
    <w:rsid w:val="00F8027A"/>
    <w:rsid w:val="00F810D2"/>
    <w:rsid w:val="00F82AA4"/>
    <w:rsid w:val="00F83969"/>
    <w:rsid w:val="00F87615"/>
    <w:rsid w:val="00F91E43"/>
    <w:rsid w:val="00F93DE8"/>
    <w:rsid w:val="00F94531"/>
    <w:rsid w:val="00F9693B"/>
    <w:rsid w:val="00F9736B"/>
    <w:rsid w:val="00FA0BB0"/>
    <w:rsid w:val="00FA70E2"/>
    <w:rsid w:val="00FA78B9"/>
    <w:rsid w:val="00FB13FB"/>
    <w:rsid w:val="00FB1812"/>
    <w:rsid w:val="00FB3ABE"/>
    <w:rsid w:val="00FB3EAE"/>
    <w:rsid w:val="00FB48AF"/>
    <w:rsid w:val="00FB4C4B"/>
    <w:rsid w:val="00FB6BAA"/>
    <w:rsid w:val="00FC146C"/>
    <w:rsid w:val="00FC3D1C"/>
    <w:rsid w:val="00FC4BEE"/>
    <w:rsid w:val="00FC6870"/>
    <w:rsid w:val="00FC7741"/>
    <w:rsid w:val="00FD0764"/>
    <w:rsid w:val="00FD3B59"/>
    <w:rsid w:val="00FD47E0"/>
    <w:rsid w:val="00FD5C7B"/>
    <w:rsid w:val="00FD5F39"/>
    <w:rsid w:val="00FD64B3"/>
    <w:rsid w:val="00FD6E46"/>
    <w:rsid w:val="00FD7254"/>
    <w:rsid w:val="00FE027A"/>
    <w:rsid w:val="00FE13A4"/>
    <w:rsid w:val="00FE27A3"/>
    <w:rsid w:val="00FE6755"/>
    <w:rsid w:val="00FF036A"/>
    <w:rsid w:val="00FF0A9B"/>
    <w:rsid w:val="00FF143F"/>
    <w:rsid w:val="00FF1C4E"/>
    <w:rsid w:val="00FF234B"/>
    <w:rsid w:val="00FF32D0"/>
    <w:rsid w:val="00FF3D43"/>
    <w:rsid w:val="00FF3DFC"/>
    <w:rsid w:val="00FF6B0C"/>
    <w:rsid w:val="00FF7274"/>
    <w:rsid w:val="021A19AB"/>
    <w:rsid w:val="02210FAB"/>
    <w:rsid w:val="02292123"/>
    <w:rsid w:val="046D503F"/>
    <w:rsid w:val="04873F09"/>
    <w:rsid w:val="04BD38C2"/>
    <w:rsid w:val="05C53E13"/>
    <w:rsid w:val="065F0C45"/>
    <w:rsid w:val="07170C1B"/>
    <w:rsid w:val="07E746A3"/>
    <w:rsid w:val="08EA61F6"/>
    <w:rsid w:val="09491953"/>
    <w:rsid w:val="09844DE7"/>
    <w:rsid w:val="0B3139E9"/>
    <w:rsid w:val="0B6F062C"/>
    <w:rsid w:val="0D730E31"/>
    <w:rsid w:val="0DA9289B"/>
    <w:rsid w:val="0E1B6600"/>
    <w:rsid w:val="0E6D66DC"/>
    <w:rsid w:val="0E8A662B"/>
    <w:rsid w:val="0F937D28"/>
    <w:rsid w:val="105305CA"/>
    <w:rsid w:val="1075314C"/>
    <w:rsid w:val="133C2F13"/>
    <w:rsid w:val="14755471"/>
    <w:rsid w:val="14CC0BD1"/>
    <w:rsid w:val="14E04D81"/>
    <w:rsid w:val="151D44BE"/>
    <w:rsid w:val="15AD2032"/>
    <w:rsid w:val="172579B8"/>
    <w:rsid w:val="17ED2613"/>
    <w:rsid w:val="189A0C38"/>
    <w:rsid w:val="1A6A3073"/>
    <w:rsid w:val="1A6B23C3"/>
    <w:rsid w:val="1A881010"/>
    <w:rsid w:val="1B945F13"/>
    <w:rsid w:val="1C3E379F"/>
    <w:rsid w:val="1C882609"/>
    <w:rsid w:val="1F527511"/>
    <w:rsid w:val="205E0A35"/>
    <w:rsid w:val="21A43446"/>
    <w:rsid w:val="23615ADF"/>
    <w:rsid w:val="23B7204A"/>
    <w:rsid w:val="25836CBE"/>
    <w:rsid w:val="26456B5B"/>
    <w:rsid w:val="274338A0"/>
    <w:rsid w:val="27863242"/>
    <w:rsid w:val="2BDD2DFB"/>
    <w:rsid w:val="2C632738"/>
    <w:rsid w:val="2E9D7B75"/>
    <w:rsid w:val="31305FC1"/>
    <w:rsid w:val="31F713B0"/>
    <w:rsid w:val="32470CC3"/>
    <w:rsid w:val="33B52CC0"/>
    <w:rsid w:val="35B07BA1"/>
    <w:rsid w:val="360150A9"/>
    <w:rsid w:val="36082927"/>
    <w:rsid w:val="36CF1701"/>
    <w:rsid w:val="36E06DA2"/>
    <w:rsid w:val="37154BF4"/>
    <w:rsid w:val="377939AF"/>
    <w:rsid w:val="3C201859"/>
    <w:rsid w:val="3E353781"/>
    <w:rsid w:val="416E59AE"/>
    <w:rsid w:val="41DF21D6"/>
    <w:rsid w:val="43AC4E24"/>
    <w:rsid w:val="444F0AB6"/>
    <w:rsid w:val="46AF31C0"/>
    <w:rsid w:val="47FC4772"/>
    <w:rsid w:val="498E3720"/>
    <w:rsid w:val="49B91D0E"/>
    <w:rsid w:val="4A5B67D1"/>
    <w:rsid w:val="4D1750CA"/>
    <w:rsid w:val="4E0F640A"/>
    <w:rsid w:val="4F6B2970"/>
    <w:rsid w:val="4FBA55A0"/>
    <w:rsid w:val="50306512"/>
    <w:rsid w:val="517758A0"/>
    <w:rsid w:val="527825E4"/>
    <w:rsid w:val="545975B2"/>
    <w:rsid w:val="556C00B2"/>
    <w:rsid w:val="56F4421B"/>
    <w:rsid w:val="59F02C26"/>
    <w:rsid w:val="5A0E7D21"/>
    <w:rsid w:val="5C10500A"/>
    <w:rsid w:val="5C541BD9"/>
    <w:rsid w:val="5CD10B6A"/>
    <w:rsid w:val="5D5A59B4"/>
    <w:rsid w:val="5D8F7D52"/>
    <w:rsid w:val="5DAD4763"/>
    <w:rsid w:val="5E8F5BC8"/>
    <w:rsid w:val="5F507E01"/>
    <w:rsid w:val="60226756"/>
    <w:rsid w:val="61DE5D02"/>
    <w:rsid w:val="63F26B51"/>
    <w:rsid w:val="661B7D80"/>
    <w:rsid w:val="67365C09"/>
    <w:rsid w:val="693A7EEF"/>
    <w:rsid w:val="698D2054"/>
    <w:rsid w:val="6D0B6ED5"/>
    <w:rsid w:val="6DAD54B3"/>
    <w:rsid w:val="6E166963"/>
    <w:rsid w:val="6E1D0DD2"/>
    <w:rsid w:val="6F8C4E4C"/>
    <w:rsid w:val="6FAC7F69"/>
    <w:rsid w:val="7121130B"/>
    <w:rsid w:val="72EE10A6"/>
    <w:rsid w:val="739C7166"/>
    <w:rsid w:val="74534B4F"/>
    <w:rsid w:val="751E2FD2"/>
    <w:rsid w:val="783C72FA"/>
    <w:rsid w:val="78FA6707"/>
    <w:rsid w:val="793C52BB"/>
    <w:rsid w:val="79434F47"/>
    <w:rsid w:val="7AFA479C"/>
    <w:rsid w:val="7B9F1530"/>
    <w:rsid w:val="7C2A738A"/>
    <w:rsid w:val="7F906C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0" w:semiHidden="0" w:name="toc 2"/>
    <w:lsdException w:qFormat="1" w:unhideWhenUsed="0" w:uiPriority="0" w:semiHidden="0" w:name="toc 3"/>
    <w:lsdException w:uiPriority="39" w:name="toc 4"/>
    <w:lsdException w:uiPriority="39" w:name="toc 5"/>
    <w:lsdException w:qFormat="1" w:unhideWhenUsed="0" w:uiPriority="0" w:semiHidden="0"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en-US" w:eastAsia="zh-CN" w:bidi="ar-SA"/>
    </w:rPr>
  </w:style>
  <w:style w:type="paragraph" w:styleId="2">
    <w:name w:val="heading 1"/>
    <w:basedOn w:val="1"/>
    <w:next w:val="1"/>
    <w:link w:val="33"/>
    <w:qFormat/>
    <w:uiPriority w:val="9"/>
    <w:pPr>
      <w:numPr>
        <w:ilvl w:val="0"/>
        <w:numId w:val="1"/>
      </w:numPr>
      <w:spacing w:before="480" w:after="0"/>
      <w:contextualSpacing/>
      <w:outlineLvl w:val="0"/>
    </w:pPr>
    <w:rPr>
      <w:rFonts w:asciiTheme="majorHAnsi" w:hAnsiTheme="majorHAnsi" w:eastAsiaTheme="majorEastAsia" w:cstheme="majorBidi"/>
      <w:b/>
      <w:bCs/>
      <w:sz w:val="28"/>
      <w:szCs w:val="28"/>
    </w:rPr>
  </w:style>
  <w:style w:type="paragraph" w:styleId="3">
    <w:name w:val="heading 2"/>
    <w:basedOn w:val="1"/>
    <w:next w:val="1"/>
    <w:link w:val="30"/>
    <w:unhideWhenUsed/>
    <w:qFormat/>
    <w:uiPriority w:val="9"/>
    <w:pPr>
      <w:numPr>
        <w:ilvl w:val="1"/>
        <w:numId w:val="1"/>
      </w:numPr>
      <w:spacing w:before="200" w:after="0"/>
      <w:ind w:left="992"/>
      <w:outlineLvl w:val="1"/>
    </w:pPr>
    <w:rPr>
      <w:rFonts w:asciiTheme="majorHAnsi" w:hAnsiTheme="majorHAnsi" w:eastAsiaTheme="majorEastAsia" w:cstheme="majorBidi"/>
      <w:b/>
      <w:bCs/>
      <w:sz w:val="26"/>
      <w:szCs w:val="26"/>
    </w:rPr>
  </w:style>
  <w:style w:type="paragraph" w:styleId="4">
    <w:name w:val="heading 3"/>
    <w:basedOn w:val="1"/>
    <w:next w:val="1"/>
    <w:link w:val="28"/>
    <w:unhideWhenUsed/>
    <w:qFormat/>
    <w:uiPriority w:val="9"/>
    <w:pPr>
      <w:numPr>
        <w:ilvl w:val="2"/>
        <w:numId w:val="1"/>
      </w:numPr>
      <w:spacing w:before="200" w:after="0" w:line="271" w:lineRule="auto"/>
      <w:outlineLvl w:val="2"/>
    </w:pPr>
    <w:rPr>
      <w:rFonts w:asciiTheme="majorHAnsi" w:hAnsiTheme="majorHAnsi" w:eastAsiaTheme="majorEastAsia" w:cstheme="majorBidi"/>
      <w:b/>
      <w:bCs/>
    </w:rPr>
  </w:style>
  <w:style w:type="paragraph" w:styleId="5">
    <w:name w:val="heading 4"/>
    <w:basedOn w:val="1"/>
    <w:next w:val="1"/>
    <w:link w:val="34"/>
    <w:unhideWhenUsed/>
    <w:qFormat/>
    <w:uiPriority w:val="9"/>
    <w:pPr>
      <w:numPr>
        <w:ilvl w:val="3"/>
        <w:numId w:val="1"/>
      </w:numPr>
      <w:spacing w:before="200" w:after="0"/>
      <w:outlineLvl w:val="3"/>
    </w:pPr>
    <w:rPr>
      <w:rFonts w:asciiTheme="majorHAnsi" w:hAnsiTheme="majorHAnsi" w:eastAsiaTheme="majorEastAsia" w:cstheme="majorBidi"/>
      <w:b/>
      <w:bCs/>
      <w:i/>
      <w:iCs/>
    </w:rPr>
  </w:style>
  <w:style w:type="paragraph" w:styleId="6">
    <w:name w:val="heading 5"/>
    <w:basedOn w:val="1"/>
    <w:next w:val="1"/>
    <w:link w:val="35"/>
    <w:unhideWhenUsed/>
    <w:qFormat/>
    <w:uiPriority w:val="9"/>
    <w:pPr>
      <w:numPr>
        <w:ilvl w:val="4"/>
        <w:numId w:val="1"/>
      </w:numPr>
      <w:spacing w:before="200" w:after="0"/>
      <w:outlineLvl w:val="4"/>
    </w:pPr>
    <w:rPr>
      <w:rFonts w:asciiTheme="majorHAnsi" w:hAnsiTheme="majorHAnsi" w:eastAsiaTheme="majorEastAsia" w:cstheme="majorBidi"/>
      <w:b/>
      <w:bCs/>
      <w:color w:val="808080" w:themeColor="text1" w:themeTint="80"/>
      <w14:textFill>
        <w14:solidFill>
          <w14:schemeClr w14:val="tx1">
            <w14:lumMod w14:val="50000"/>
            <w14:lumOff w14:val="50000"/>
          </w14:schemeClr>
        </w14:solidFill>
      </w14:textFill>
    </w:rPr>
  </w:style>
  <w:style w:type="paragraph" w:styleId="7">
    <w:name w:val="heading 6"/>
    <w:basedOn w:val="1"/>
    <w:next w:val="1"/>
    <w:link w:val="36"/>
    <w:unhideWhenUsed/>
    <w:qFormat/>
    <w:uiPriority w:val="9"/>
    <w:pPr>
      <w:spacing w:after="0" w:line="271" w:lineRule="auto"/>
      <w:outlineLvl w:val="5"/>
    </w:pPr>
    <w:rPr>
      <w:rFonts w:asciiTheme="majorHAnsi" w:hAnsiTheme="majorHAnsi" w:eastAsiaTheme="majorEastAsia" w:cstheme="majorBidi"/>
      <w:b/>
      <w:bCs/>
      <w:i/>
      <w:iCs/>
      <w:color w:val="808080" w:themeColor="text1" w:themeTint="80"/>
      <w14:textFill>
        <w14:solidFill>
          <w14:schemeClr w14:val="tx1">
            <w14:lumMod w14:val="50000"/>
            <w14:lumOff w14:val="50000"/>
          </w14:schemeClr>
        </w14:solidFill>
      </w14:textFill>
    </w:rPr>
  </w:style>
  <w:style w:type="paragraph" w:styleId="8">
    <w:name w:val="heading 7"/>
    <w:basedOn w:val="1"/>
    <w:next w:val="1"/>
    <w:link w:val="37"/>
    <w:unhideWhenUsed/>
    <w:qFormat/>
    <w:uiPriority w:val="9"/>
    <w:pPr>
      <w:spacing w:after="0"/>
      <w:outlineLvl w:val="6"/>
    </w:pPr>
    <w:rPr>
      <w:rFonts w:asciiTheme="majorHAnsi" w:hAnsiTheme="majorHAnsi" w:eastAsiaTheme="majorEastAsia" w:cstheme="majorBidi"/>
      <w:i/>
      <w:iCs/>
    </w:rPr>
  </w:style>
  <w:style w:type="paragraph" w:styleId="9">
    <w:name w:val="heading 8"/>
    <w:basedOn w:val="1"/>
    <w:next w:val="1"/>
    <w:link w:val="38"/>
    <w:unhideWhenUsed/>
    <w:qFormat/>
    <w:uiPriority w:val="9"/>
    <w:pPr>
      <w:spacing w:after="0"/>
      <w:outlineLvl w:val="7"/>
    </w:pPr>
    <w:rPr>
      <w:rFonts w:asciiTheme="majorHAnsi" w:hAnsiTheme="majorHAnsi" w:eastAsiaTheme="majorEastAsia" w:cstheme="majorBidi"/>
      <w:sz w:val="20"/>
      <w:szCs w:val="20"/>
    </w:rPr>
  </w:style>
  <w:style w:type="paragraph" w:styleId="10">
    <w:name w:val="heading 9"/>
    <w:basedOn w:val="1"/>
    <w:next w:val="1"/>
    <w:link w:val="39"/>
    <w:unhideWhenUsed/>
    <w:qFormat/>
    <w:uiPriority w:val="9"/>
    <w:pPr>
      <w:spacing w:after="0"/>
      <w:outlineLvl w:val="8"/>
    </w:pPr>
    <w:rPr>
      <w:rFonts w:asciiTheme="majorHAnsi" w:hAnsiTheme="majorHAnsi" w:eastAsiaTheme="majorEastAsia" w:cstheme="majorBidi"/>
      <w:i/>
      <w:iCs/>
      <w:spacing w:val="5"/>
      <w:sz w:val="20"/>
      <w:szCs w:val="20"/>
    </w:rPr>
  </w:style>
  <w:style w:type="character" w:default="1" w:styleId="21">
    <w:name w:val="Default Paragraph Font"/>
    <w:semiHidden/>
    <w:unhideWhenUsed/>
    <w:qFormat/>
    <w:uiPriority w:val="1"/>
  </w:style>
  <w:style w:type="table" w:default="1" w:styleId="25">
    <w:name w:val="Normal Table"/>
    <w:semiHidden/>
    <w:unhideWhenUsed/>
    <w:qFormat/>
    <w:uiPriority w:val="99"/>
    <w:tblPr>
      <w:tblLayout w:type="fixed"/>
      <w:tblCellMar>
        <w:top w:w="0" w:type="dxa"/>
        <w:left w:w="108" w:type="dxa"/>
        <w:bottom w:w="0" w:type="dxa"/>
        <w:right w:w="108" w:type="dxa"/>
      </w:tblCellMar>
    </w:tblPr>
  </w:style>
  <w:style w:type="paragraph" w:styleId="11">
    <w:name w:val="toc 3"/>
    <w:basedOn w:val="1"/>
    <w:next w:val="1"/>
    <w:qFormat/>
    <w:uiPriority w:val="0"/>
    <w:pPr>
      <w:ind w:left="200" w:leftChars="200"/>
    </w:pPr>
  </w:style>
  <w:style w:type="paragraph" w:styleId="12">
    <w:name w:val="Balloon Text"/>
    <w:basedOn w:val="1"/>
    <w:link w:val="54"/>
    <w:unhideWhenUsed/>
    <w:qFormat/>
    <w:uiPriority w:val="99"/>
    <w:pPr>
      <w:spacing w:after="0" w:line="240" w:lineRule="auto"/>
    </w:pPr>
    <w:rPr>
      <w:sz w:val="18"/>
      <w:szCs w:val="18"/>
    </w:rPr>
  </w:style>
  <w:style w:type="paragraph" w:styleId="13">
    <w:name w:val="footer"/>
    <w:basedOn w:val="1"/>
    <w:link w:val="32"/>
    <w:unhideWhenUsed/>
    <w:qFormat/>
    <w:uiPriority w:val="99"/>
    <w:pPr>
      <w:tabs>
        <w:tab w:val="center" w:pos="4153"/>
        <w:tab w:val="right" w:pos="8306"/>
      </w:tabs>
      <w:snapToGrid w:val="0"/>
    </w:pPr>
    <w:rPr>
      <w:sz w:val="18"/>
      <w:szCs w:val="18"/>
    </w:rPr>
  </w:style>
  <w:style w:type="paragraph" w:styleId="14">
    <w:name w:val="header"/>
    <w:basedOn w:val="1"/>
    <w:link w:val="31"/>
    <w:unhideWhenUsed/>
    <w:qFormat/>
    <w:uiPriority w:val="99"/>
    <w:pPr>
      <w:pBdr>
        <w:bottom w:val="single" w:color="auto" w:sz="6" w:space="1"/>
      </w:pBdr>
      <w:tabs>
        <w:tab w:val="center" w:pos="4153"/>
        <w:tab w:val="right" w:pos="8306"/>
      </w:tabs>
      <w:snapToGrid w:val="0"/>
      <w:jc w:val="center"/>
    </w:pPr>
    <w:rPr>
      <w:sz w:val="18"/>
      <w:szCs w:val="18"/>
    </w:rPr>
  </w:style>
  <w:style w:type="paragraph" w:styleId="15">
    <w:name w:val="toc 1"/>
    <w:basedOn w:val="1"/>
    <w:next w:val="1"/>
    <w:qFormat/>
    <w:uiPriority w:val="0"/>
  </w:style>
  <w:style w:type="paragraph" w:styleId="16">
    <w:name w:val="Subtitle"/>
    <w:basedOn w:val="1"/>
    <w:next w:val="1"/>
    <w:link w:val="41"/>
    <w:qFormat/>
    <w:uiPriority w:val="11"/>
    <w:pPr>
      <w:spacing w:after="600"/>
    </w:pPr>
    <w:rPr>
      <w:rFonts w:asciiTheme="majorHAnsi" w:hAnsiTheme="majorHAnsi" w:eastAsiaTheme="majorEastAsia" w:cstheme="majorBidi"/>
      <w:i/>
      <w:iCs/>
      <w:spacing w:val="13"/>
      <w:sz w:val="24"/>
      <w:szCs w:val="24"/>
    </w:rPr>
  </w:style>
  <w:style w:type="paragraph" w:styleId="17">
    <w:name w:val="toc 6"/>
    <w:basedOn w:val="1"/>
    <w:next w:val="1"/>
    <w:qFormat/>
    <w:uiPriority w:val="0"/>
    <w:pPr>
      <w:ind w:left="2100" w:leftChars="1000"/>
    </w:pPr>
  </w:style>
  <w:style w:type="paragraph" w:styleId="18">
    <w:name w:val="toc 2"/>
    <w:basedOn w:val="1"/>
    <w:next w:val="1"/>
    <w:qFormat/>
    <w:uiPriority w:val="0"/>
    <w:pPr>
      <w:ind w:left="100" w:leftChars="100"/>
    </w:pPr>
  </w:style>
  <w:style w:type="paragraph" w:styleId="19">
    <w:name w:val="Normal (Web)"/>
    <w:basedOn w:val="1"/>
    <w:qFormat/>
    <w:uiPriority w:val="0"/>
    <w:pPr>
      <w:spacing w:before="100" w:beforeAutospacing="1" w:after="100" w:afterAutospacing="1"/>
    </w:pPr>
    <w:rPr>
      <w:rFonts w:ascii="宋体" w:hAnsi="宋体" w:cs="宋体"/>
      <w:sz w:val="24"/>
      <w:szCs w:val="24"/>
    </w:rPr>
  </w:style>
  <w:style w:type="paragraph" w:styleId="20">
    <w:name w:val="Title"/>
    <w:basedOn w:val="1"/>
    <w:next w:val="1"/>
    <w:link w:val="40"/>
    <w:qFormat/>
    <w:uiPriority w:val="10"/>
    <w:pPr>
      <w:pBdr>
        <w:bottom w:val="single" w:color="auto" w:sz="4" w:space="1"/>
      </w:pBdr>
      <w:spacing w:line="240" w:lineRule="auto"/>
      <w:contextualSpacing/>
    </w:pPr>
    <w:rPr>
      <w:rFonts w:asciiTheme="majorHAnsi" w:hAnsiTheme="majorHAnsi" w:eastAsiaTheme="majorEastAsia" w:cstheme="majorBidi"/>
      <w:spacing w:val="5"/>
      <w:sz w:val="52"/>
      <w:szCs w:val="52"/>
    </w:rPr>
  </w:style>
  <w:style w:type="character" w:styleId="22">
    <w:name w:val="Strong"/>
    <w:qFormat/>
    <w:uiPriority w:val="22"/>
    <w:rPr>
      <w:b/>
      <w:bCs/>
    </w:rPr>
  </w:style>
  <w:style w:type="character" w:styleId="23">
    <w:name w:val="Emphasis"/>
    <w:qFormat/>
    <w:uiPriority w:val="20"/>
    <w:rPr>
      <w:b/>
      <w:bCs/>
      <w:i/>
      <w:iCs/>
      <w:spacing w:val="10"/>
      <w:shd w:val="clear" w:color="auto" w:fill="auto"/>
    </w:rPr>
  </w:style>
  <w:style w:type="character" w:styleId="24">
    <w:name w:val="Hyperlink"/>
    <w:qFormat/>
    <w:uiPriority w:val="0"/>
    <w:rPr>
      <w:color w:val="0000FF"/>
      <w:u w:val="single"/>
    </w:rPr>
  </w:style>
  <w:style w:type="table" w:styleId="26">
    <w:name w:val="Table Grid"/>
    <w:basedOn w:val="2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27">
    <w:name w:val="3号黑体标题"/>
    <w:basedOn w:val="1"/>
    <w:qFormat/>
    <w:uiPriority w:val="0"/>
    <w:pPr>
      <w:jc w:val="center"/>
    </w:pPr>
    <w:rPr>
      <w:rFonts w:eastAsia="黑体"/>
      <w:sz w:val="32"/>
    </w:rPr>
  </w:style>
  <w:style w:type="character" w:customStyle="1" w:styleId="28">
    <w:name w:val="标题 3 Char"/>
    <w:basedOn w:val="21"/>
    <w:link w:val="4"/>
    <w:qFormat/>
    <w:uiPriority w:val="9"/>
    <w:rPr>
      <w:rFonts w:asciiTheme="majorHAnsi" w:hAnsiTheme="majorHAnsi" w:eastAsiaTheme="majorEastAsia" w:cstheme="majorBidi"/>
      <w:b/>
      <w:bCs/>
    </w:rPr>
  </w:style>
  <w:style w:type="paragraph" w:customStyle="1" w:styleId="29">
    <w:name w:val="样式 标题 2 + Times New Roman 四号 非加粗 段前: 5 磅 段后: 0 磅 行距: 固定值 20..."/>
    <w:basedOn w:val="3"/>
    <w:qFormat/>
    <w:uiPriority w:val="0"/>
    <w:pPr>
      <w:spacing w:before="100" w:line="400" w:lineRule="exact"/>
    </w:pPr>
    <w:rPr>
      <w:rFonts w:ascii="Times New Roman" w:hAnsi="Times New Roman" w:eastAsia="黑体" w:cs="宋体"/>
      <w:b w:val="0"/>
      <w:bCs w:val="0"/>
      <w:sz w:val="28"/>
      <w:szCs w:val="20"/>
    </w:rPr>
  </w:style>
  <w:style w:type="character" w:customStyle="1" w:styleId="30">
    <w:name w:val="标题 2 Char"/>
    <w:basedOn w:val="21"/>
    <w:link w:val="3"/>
    <w:qFormat/>
    <w:uiPriority w:val="9"/>
    <w:rPr>
      <w:rFonts w:asciiTheme="majorHAnsi" w:hAnsiTheme="majorHAnsi" w:eastAsiaTheme="majorEastAsia" w:cstheme="majorBidi"/>
      <w:b/>
      <w:bCs/>
      <w:sz w:val="26"/>
      <w:szCs w:val="26"/>
    </w:rPr>
  </w:style>
  <w:style w:type="character" w:customStyle="1" w:styleId="31">
    <w:name w:val="页眉 Char"/>
    <w:basedOn w:val="21"/>
    <w:link w:val="14"/>
    <w:qFormat/>
    <w:uiPriority w:val="99"/>
    <w:rPr>
      <w:rFonts w:ascii="Times New Roman" w:hAnsi="Times New Roman" w:eastAsia="宋体" w:cs="Times New Roman"/>
      <w:sz w:val="18"/>
      <w:szCs w:val="18"/>
    </w:rPr>
  </w:style>
  <w:style w:type="character" w:customStyle="1" w:styleId="32">
    <w:name w:val="页脚 Char"/>
    <w:basedOn w:val="21"/>
    <w:link w:val="13"/>
    <w:qFormat/>
    <w:uiPriority w:val="99"/>
    <w:rPr>
      <w:rFonts w:ascii="Times New Roman" w:hAnsi="Times New Roman" w:eastAsia="宋体" w:cs="Times New Roman"/>
      <w:sz w:val="18"/>
      <w:szCs w:val="18"/>
    </w:rPr>
  </w:style>
  <w:style w:type="character" w:customStyle="1" w:styleId="33">
    <w:name w:val="标题 1 Char"/>
    <w:basedOn w:val="21"/>
    <w:link w:val="2"/>
    <w:qFormat/>
    <w:uiPriority w:val="9"/>
    <w:rPr>
      <w:rFonts w:asciiTheme="majorHAnsi" w:hAnsiTheme="majorHAnsi" w:eastAsiaTheme="majorEastAsia" w:cstheme="majorBidi"/>
      <w:b/>
      <w:bCs/>
      <w:sz w:val="28"/>
      <w:szCs w:val="28"/>
    </w:rPr>
  </w:style>
  <w:style w:type="character" w:customStyle="1" w:styleId="34">
    <w:name w:val="标题 4 Char"/>
    <w:basedOn w:val="21"/>
    <w:link w:val="5"/>
    <w:semiHidden/>
    <w:qFormat/>
    <w:uiPriority w:val="9"/>
    <w:rPr>
      <w:rFonts w:asciiTheme="majorHAnsi" w:hAnsiTheme="majorHAnsi" w:eastAsiaTheme="majorEastAsia" w:cstheme="majorBidi"/>
      <w:b/>
      <w:bCs/>
      <w:i/>
      <w:iCs/>
    </w:rPr>
  </w:style>
  <w:style w:type="character" w:customStyle="1" w:styleId="35">
    <w:name w:val="标题 5 Char"/>
    <w:basedOn w:val="21"/>
    <w:link w:val="6"/>
    <w:semiHidden/>
    <w:qFormat/>
    <w:uiPriority w:val="9"/>
    <w:rPr>
      <w:rFonts w:asciiTheme="majorHAnsi" w:hAnsiTheme="majorHAnsi" w:eastAsiaTheme="majorEastAsia" w:cstheme="majorBidi"/>
      <w:b/>
      <w:bCs/>
      <w:color w:val="808080" w:themeColor="text1" w:themeTint="80"/>
      <w14:textFill>
        <w14:solidFill>
          <w14:schemeClr w14:val="tx1">
            <w14:lumMod w14:val="50000"/>
            <w14:lumOff w14:val="50000"/>
          </w14:schemeClr>
        </w14:solidFill>
      </w14:textFill>
    </w:rPr>
  </w:style>
  <w:style w:type="character" w:customStyle="1" w:styleId="36">
    <w:name w:val="标题 6 Char"/>
    <w:basedOn w:val="21"/>
    <w:link w:val="7"/>
    <w:semiHidden/>
    <w:qFormat/>
    <w:uiPriority w:val="9"/>
    <w:rPr>
      <w:rFonts w:asciiTheme="majorHAnsi" w:hAnsiTheme="majorHAnsi" w:eastAsiaTheme="majorEastAsia" w:cstheme="majorBidi"/>
      <w:b/>
      <w:bCs/>
      <w:i/>
      <w:iCs/>
      <w:color w:val="808080" w:themeColor="text1" w:themeTint="80"/>
      <w14:textFill>
        <w14:solidFill>
          <w14:schemeClr w14:val="tx1">
            <w14:lumMod w14:val="50000"/>
            <w14:lumOff w14:val="50000"/>
          </w14:schemeClr>
        </w14:solidFill>
      </w14:textFill>
    </w:rPr>
  </w:style>
  <w:style w:type="character" w:customStyle="1" w:styleId="37">
    <w:name w:val="标题 7 Char"/>
    <w:basedOn w:val="21"/>
    <w:link w:val="8"/>
    <w:semiHidden/>
    <w:qFormat/>
    <w:uiPriority w:val="9"/>
    <w:rPr>
      <w:rFonts w:asciiTheme="majorHAnsi" w:hAnsiTheme="majorHAnsi" w:eastAsiaTheme="majorEastAsia" w:cstheme="majorBidi"/>
      <w:i/>
      <w:iCs/>
    </w:rPr>
  </w:style>
  <w:style w:type="character" w:customStyle="1" w:styleId="38">
    <w:name w:val="标题 8 Char"/>
    <w:basedOn w:val="21"/>
    <w:link w:val="9"/>
    <w:semiHidden/>
    <w:qFormat/>
    <w:uiPriority w:val="9"/>
    <w:rPr>
      <w:rFonts w:asciiTheme="majorHAnsi" w:hAnsiTheme="majorHAnsi" w:eastAsiaTheme="majorEastAsia" w:cstheme="majorBidi"/>
      <w:sz w:val="20"/>
      <w:szCs w:val="20"/>
    </w:rPr>
  </w:style>
  <w:style w:type="character" w:customStyle="1" w:styleId="39">
    <w:name w:val="标题 9 Char"/>
    <w:basedOn w:val="21"/>
    <w:link w:val="10"/>
    <w:semiHidden/>
    <w:qFormat/>
    <w:uiPriority w:val="9"/>
    <w:rPr>
      <w:rFonts w:asciiTheme="majorHAnsi" w:hAnsiTheme="majorHAnsi" w:eastAsiaTheme="majorEastAsia" w:cstheme="majorBidi"/>
      <w:i/>
      <w:iCs/>
      <w:spacing w:val="5"/>
      <w:sz w:val="20"/>
      <w:szCs w:val="20"/>
    </w:rPr>
  </w:style>
  <w:style w:type="character" w:customStyle="1" w:styleId="40">
    <w:name w:val="标题 Char"/>
    <w:basedOn w:val="21"/>
    <w:link w:val="20"/>
    <w:qFormat/>
    <w:uiPriority w:val="10"/>
    <w:rPr>
      <w:rFonts w:asciiTheme="majorHAnsi" w:hAnsiTheme="majorHAnsi" w:eastAsiaTheme="majorEastAsia" w:cstheme="majorBidi"/>
      <w:spacing w:val="5"/>
      <w:sz w:val="52"/>
      <w:szCs w:val="52"/>
    </w:rPr>
  </w:style>
  <w:style w:type="character" w:customStyle="1" w:styleId="41">
    <w:name w:val="副标题 Char"/>
    <w:basedOn w:val="21"/>
    <w:link w:val="16"/>
    <w:qFormat/>
    <w:uiPriority w:val="11"/>
    <w:rPr>
      <w:rFonts w:asciiTheme="majorHAnsi" w:hAnsiTheme="majorHAnsi" w:eastAsiaTheme="majorEastAsia" w:cstheme="majorBidi"/>
      <w:i/>
      <w:iCs/>
      <w:spacing w:val="13"/>
      <w:sz w:val="24"/>
      <w:szCs w:val="24"/>
    </w:rPr>
  </w:style>
  <w:style w:type="paragraph" w:styleId="42">
    <w:name w:val="No Spacing"/>
    <w:basedOn w:val="1"/>
    <w:link w:val="55"/>
    <w:qFormat/>
    <w:uiPriority w:val="1"/>
    <w:pPr>
      <w:spacing w:after="0" w:line="240" w:lineRule="auto"/>
    </w:pPr>
  </w:style>
  <w:style w:type="paragraph" w:styleId="43">
    <w:name w:val="List Paragraph"/>
    <w:basedOn w:val="1"/>
    <w:qFormat/>
    <w:uiPriority w:val="34"/>
    <w:pPr>
      <w:ind w:left="720"/>
      <w:contextualSpacing/>
    </w:pPr>
  </w:style>
  <w:style w:type="paragraph" w:styleId="44">
    <w:name w:val="Quote"/>
    <w:basedOn w:val="1"/>
    <w:next w:val="1"/>
    <w:link w:val="45"/>
    <w:qFormat/>
    <w:uiPriority w:val="29"/>
    <w:pPr>
      <w:spacing w:before="200" w:after="0"/>
      <w:ind w:left="360" w:right="360"/>
    </w:pPr>
    <w:rPr>
      <w:i/>
      <w:iCs/>
    </w:rPr>
  </w:style>
  <w:style w:type="character" w:customStyle="1" w:styleId="45">
    <w:name w:val="引用 Char"/>
    <w:basedOn w:val="21"/>
    <w:link w:val="44"/>
    <w:qFormat/>
    <w:uiPriority w:val="29"/>
    <w:rPr>
      <w:i/>
      <w:iCs/>
    </w:rPr>
  </w:style>
  <w:style w:type="paragraph" w:styleId="46">
    <w:name w:val="Intense Quote"/>
    <w:basedOn w:val="1"/>
    <w:next w:val="1"/>
    <w:link w:val="47"/>
    <w:qFormat/>
    <w:uiPriority w:val="30"/>
    <w:pPr>
      <w:pBdr>
        <w:bottom w:val="single" w:color="auto" w:sz="4" w:space="1"/>
      </w:pBdr>
      <w:spacing w:before="200" w:after="280"/>
      <w:ind w:left="1008" w:right="1152"/>
      <w:jc w:val="both"/>
    </w:pPr>
    <w:rPr>
      <w:b/>
      <w:bCs/>
      <w:i/>
      <w:iCs/>
    </w:rPr>
  </w:style>
  <w:style w:type="character" w:customStyle="1" w:styleId="47">
    <w:name w:val="明显引用 Char"/>
    <w:basedOn w:val="21"/>
    <w:link w:val="46"/>
    <w:qFormat/>
    <w:uiPriority w:val="30"/>
    <w:rPr>
      <w:b/>
      <w:bCs/>
      <w:i/>
      <w:iCs/>
    </w:rPr>
  </w:style>
  <w:style w:type="character" w:customStyle="1" w:styleId="48">
    <w:name w:val="不明显强调1"/>
    <w:qFormat/>
    <w:uiPriority w:val="19"/>
    <w:rPr>
      <w:i/>
      <w:iCs/>
    </w:rPr>
  </w:style>
  <w:style w:type="character" w:customStyle="1" w:styleId="49">
    <w:name w:val="明显强调1"/>
    <w:qFormat/>
    <w:uiPriority w:val="21"/>
    <w:rPr>
      <w:b/>
      <w:bCs/>
    </w:rPr>
  </w:style>
  <w:style w:type="character" w:customStyle="1" w:styleId="50">
    <w:name w:val="不明显参考1"/>
    <w:qFormat/>
    <w:uiPriority w:val="31"/>
    <w:rPr>
      <w:smallCaps/>
    </w:rPr>
  </w:style>
  <w:style w:type="character" w:customStyle="1" w:styleId="51">
    <w:name w:val="明显参考1"/>
    <w:qFormat/>
    <w:uiPriority w:val="32"/>
    <w:rPr>
      <w:smallCaps/>
      <w:spacing w:val="5"/>
      <w:u w:val="single"/>
    </w:rPr>
  </w:style>
  <w:style w:type="character" w:customStyle="1" w:styleId="52">
    <w:name w:val="书籍标题1"/>
    <w:qFormat/>
    <w:uiPriority w:val="33"/>
    <w:rPr>
      <w:i/>
      <w:iCs/>
      <w:smallCaps/>
      <w:spacing w:val="5"/>
    </w:rPr>
  </w:style>
  <w:style w:type="paragraph" w:customStyle="1" w:styleId="53">
    <w:name w:val="TOC 标题1"/>
    <w:basedOn w:val="2"/>
    <w:next w:val="1"/>
    <w:unhideWhenUsed/>
    <w:qFormat/>
    <w:uiPriority w:val="39"/>
    <w:pPr>
      <w:outlineLvl w:val="9"/>
    </w:pPr>
    <w:rPr>
      <w:lang w:bidi="en-US"/>
    </w:rPr>
  </w:style>
  <w:style w:type="character" w:customStyle="1" w:styleId="54">
    <w:name w:val="批注框文本 Char"/>
    <w:basedOn w:val="21"/>
    <w:link w:val="12"/>
    <w:semiHidden/>
    <w:qFormat/>
    <w:uiPriority w:val="99"/>
    <w:rPr>
      <w:sz w:val="18"/>
      <w:szCs w:val="18"/>
    </w:rPr>
  </w:style>
  <w:style w:type="character" w:customStyle="1" w:styleId="55">
    <w:name w:val="无间隔 Char"/>
    <w:basedOn w:val="21"/>
    <w:link w:val="42"/>
    <w:qFormat/>
    <w:uiPriority w:val="1"/>
  </w:style>
  <w:style w:type="paragraph" w:customStyle="1" w:styleId="56">
    <w:name w:val="普通(网站)1"/>
    <w:basedOn w:val="1"/>
    <w:qFormat/>
    <w:uiPriority w:val="0"/>
    <w:pPr>
      <w:spacing w:line="360" w:lineRule="auto"/>
      <w:ind w:firstLine="200" w:firstLineChars="200"/>
    </w:pPr>
    <w:rPr>
      <w:rFonts w:ascii="Times New Roman" w:hAnsi="Times New Roman"/>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13</Pages>
  <Words>1279</Words>
  <Characters>7294</Characters>
  <Lines>60</Lines>
  <Paragraphs>17</Paragraphs>
  <TotalTime>300</TotalTime>
  <ScaleCrop>false</ScaleCrop>
  <LinksUpToDate>false</LinksUpToDate>
  <CharactersWithSpaces>8556</CharactersWithSpaces>
  <Application>WPS Office_10.8.2.6613_F1E327BC-269C-435d-A152-05C5408002CA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2016-08-10T13:00:00Z</dcterms:created>
  <dc:creator>hegangbin</dc:creator>
  <cp:lastModifiedBy>唐文亭</cp:lastModifiedBy>
  <cp:lastPrinted>2017-05-04T06:10:00Z</cp:lastPrinted>
  <dcterms:modified xsi:type="dcterms:W3CDTF">2019-06-15T02:04:42Z</dcterms:modified>
  <cp:revision>12796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2052-10.8.2.6613</vt:lpwstr>
  </property>
</Properties>
</file>